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809" w:rsidRPr="002A1DA6" w:rsidRDefault="00AF5809" w:rsidP="007004F4">
      <w:pPr>
        <w:jc w:val="center"/>
        <w:rPr>
          <w:rFonts w:cs="Arial"/>
          <w:b/>
          <w:sz w:val="16"/>
          <w:szCs w:val="16"/>
          <w:lang w:val="pt-BR"/>
        </w:rPr>
      </w:pPr>
      <w:r w:rsidRPr="002A1DA6">
        <w:rPr>
          <w:rFonts w:cs="Arial"/>
          <w:b/>
          <w:sz w:val="16"/>
          <w:szCs w:val="16"/>
          <w:lang w:val="pt-BR"/>
        </w:rPr>
        <w:t>PARTE II</w:t>
      </w:r>
    </w:p>
    <w:p w:rsidR="00AF5809" w:rsidRPr="002A1DA6" w:rsidRDefault="00AF5809" w:rsidP="007004F4">
      <w:pPr>
        <w:jc w:val="center"/>
        <w:rPr>
          <w:rFonts w:cs="Arial"/>
          <w:b/>
          <w:sz w:val="16"/>
          <w:szCs w:val="16"/>
          <w:lang w:val="pt-BR"/>
        </w:rPr>
      </w:pPr>
      <w:r w:rsidRPr="002A1DA6">
        <w:rPr>
          <w:rFonts w:cs="Arial"/>
          <w:b/>
          <w:sz w:val="16"/>
          <w:szCs w:val="16"/>
          <w:lang w:val="pt-BR"/>
        </w:rPr>
        <w:t>MERCADO INTERMEDIADO</w:t>
      </w:r>
    </w:p>
    <w:p w:rsidR="00AF5809" w:rsidRPr="002A1DA6" w:rsidRDefault="00AF5809" w:rsidP="007004F4">
      <w:pPr>
        <w:jc w:val="center"/>
        <w:rPr>
          <w:rFonts w:cs="Arial"/>
          <w:b/>
          <w:sz w:val="16"/>
          <w:szCs w:val="16"/>
          <w:lang w:val="pt-BR"/>
        </w:rPr>
      </w:pPr>
    </w:p>
    <w:p w:rsidR="00AF5809" w:rsidRPr="002A1DA6" w:rsidRDefault="00AF5809" w:rsidP="007004F4">
      <w:pPr>
        <w:jc w:val="center"/>
        <w:rPr>
          <w:rFonts w:cs="Arial"/>
          <w:b/>
          <w:sz w:val="16"/>
          <w:szCs w:val="16"/>
          <w:lang w:val="pt-BR"/>
        </w:rPr>
      </w:pPr>
      <w:r w:rsidRPr="002A1DA6">
        <w:rPr>
          <w:rFonts w:cs="Arial"/>
          <w:b/>
          <w:sz w:val="16"/>
          <w:szCs w:val="16"/>
          <w:lang w:val="pt-BR"/>
        </w:rPr>
        <w:t>TÍTULO III</w:t>
      </w:r>
    </w:p>
    <w:p w:rsidR="00AF5809" w:rsidRPr="002A1DA6" w:rsidRDefault="00AF5809" w:rsidP="007004F4">
      <w:pPr>
        <w:jc w:val="center"/>
        <w:rPr>
          <w:rFonts w:cs="Arial"/>
          <w:b/>
          <w:sz w:val="16"/>
          <w:szCs w:val="16"/>
        </w:rPr>
      </w:pPr>
      <w:r w:rsidRPr="002A1DA6">
        <w:rPr>
          <w:rFonts w:cs="Arial"/>
          <w:b/>
          <w:sz w:val="16"/>
          <w:szCs w:val="16"/>
        </w:rPr>
        <w:t>INSTRUCCIONES GENERALES RELATIVAS A LAS OPERACIONES DE LAS ENTIDADES ADMINISTRADORAS DE PENSIONES Y CESANTIAS</w:t>
      </w:r>
    </w:p>
    <w:p w:rsidR="00AF5809" w:rsidRPr="002A1DA6" w:rsidRDefault="00AF5809" w:rsidP="007004F4">
      <w:pPr>
        <w:jc w:val="center"/>
        <w:rPr>
          <w:rFonts w:cs="Arial"/>
          <w:b/>
          <w:sz w:val="16"/>
          <w:szCs w:val="16"/>
        </w:rPr>
      </w:pPr>
    </w:p>
    <w:p w:rsidR="00AF5809" w:rsidRPr="002A1DA6" w:rsidRDefault="00AF5809" w:rsidP="007004F4">
      <w:pPr>
        <w:jc w:val="center"/>
        <w:rPr>
          <w:rFonts w:cs="Arial"/>
          <w:b/>
          <w:sz w:val="16"/>
          <w:szCs w:val="16"/>
        </w:rPr>
      </w:pPr>
      <w:r w:rsidRPr="002A1DA6">
        <w:rPr>
          <w:rFonts w:cs="Arial"/>
          <w:b/>
          <w:sz w:val="16"/>
          <w:szCs w:val="16"/>
        </w:rPr>
        <w:t>CAPÍTULO III: DISPOSICIONES ESPECIALES APLICABLES A LA ADMINISTRACIÓN DE FONDOS DE CESANTÍAS</w:t>
      </w:r>
    </w:p>
    <w:p w:rsidR="00AF5809" w:rsidRPr="002A1DA6" w:rsidRDefault="00AF5809" w:rsidP="007004F4">
      <w:pPr>
        <w:rPr>
          <w:rFonts w:cs="Arial"/>
          <w:b/>
          <w:sz w:val="16"/>
          <w:szCs w:val="16"/>
        </w:rPr>
      </w:pPr>
    </w:p>
    <w:p w:rsidR="00AF5809" w:rsidRPr="002A1DA6" w:rsidRDefault="00AF5809" w:rsidP="007004F4">
      <w:pPr>
        <w:rPr>
          <w:rFonts w:cs="Arial"/>
          <w:b/>
          <w:sz w:val="16"/>
          <w:szCs w:val="16"/>
        </w:rPr>
      </w:pPr>
    </w:p>
    <w:p w:rsidR="00AF5809" w:rsidRPr="002A1DA6" w:rsidRDefault="00AF5809" w:rsidP="007004F4">
      <w:pPr>
        <w:pStyle w:val="Encabezadodetabladecontenido1"/>
        <w:spacing w:before="0"/>
        <w:rPr>
          <w:rFonts w:ascii="Arial" w:hAnsi="Arial" w:cs="Arial"/>
          <w:color w:val="auto"/>
          <w:sz w:val="16"/>
          <w:szCs w:val="16"/>
        </w:rPr>
      </w:pPr>
      <w:r w:rsidRPr="002A1DA6">
        <w:rPr>
          <w:rFonts w:ascii="Arial" w:hAnsi="Arial" w:cs="Arial"/>
          <w:color w:val="auto"/>
          <w:sz w:val="16"/>
          <w:szCs w:val="16"/>
          <w:lang w:val="es-ES"/>
        </w:rPr>
        <w:t>CONTENIDO</w:t>
      </w:r>
    </w:p>
    <w:p w:rsidR="00AF5809" w:rsidRPr="002A1DA6" w:rsidRDefault="009B14B4">
      <w:pPr>
        <w:pStyle w:val="TDC1"/>
        <w:tabs>
          <w:tab w:val="right" w:leader="dot" w:pos="8830"/>
        </w:tabs>
        <w:rPr>
          <w:rFonts w:eastAsia="MS Mincho" w:cs="Arial"/>
          <w:b w:val="0"/>
          <w:bCs w:val="0"/>
          <w:noProof/>
          <w:szCs w:val="16"/>
          <w:lang w:eastAsia="ja-JP"/>
        </w:rPr>
      </w:pPr>
      <w:r w:rsidRPr="002A1DA6">
        <w:rPr>
          <w:rFonts w:cs="Arial"/>
          <w:szCs w:val="16"/>
        </w:rPr>
        <w:fldChar w:fldCharType="begin"/>
      </w:r>
      <w:r w:rsidR="00AF5809" w:rsidRPr="002A1DA6">
        <w:rPr>
          <w:rFonts w:cs="Arial"/>
          <w:szCs w:val="16"/>
        </w:rPr>
        <w:instrText xml:space="preserve"> </w:instrText>
      </w:r>
      <w:r w:rsidR="00C5747F" w:rsidRPr="002A1DA6">
        <w:rPr>
          <w:rFonts w:cs="Arial"/>
          <w:szCs w:val="16"/>
        </w:rPr>
        <w:instrText>TOC</w:instrText>
      </w:r>
      <w:r w:rsidR="00AF5809" w:rsidRPr="002A1DA6">
        <w:rPr>
          <w:rFonts w:cs="Arial"/>
          <w:szCs w:val="16"/>
        </w:rPr>
        <w:instrText xml:space="preserve"> \o "1-2" \h \z \u </w:instrText>
      </w:r>
      <w:r w:rsidRPr="002A1DA6">
        <w:rPr>
          <w:rFonts w:cs="Arial"/>
          <w:szCs w:val="16"/>
        </w:rPr>
        <w:fldChar w:fldCharType="separate"/>
      </w:r>
      <w:r w:rsidR="00AF5809" w:rsidRPr="002A1DA6">
        <w:rPr>
          <w:rFonts w:cs="Arial"/>
          <w:noProof/>
          <w:szCs w:val="16"/>
        </w:rPr>
        <w:t>1. DISPOSICIONES RELACIONADAS CON LOS FONDOS ADMINISTRADOS</w:t>
      </w:r>
    </w:p>
    <w:p w:rsidR="00AF5809" w:rsidRPr="002A1DA6" w:rsidRDefault="00AF5809">
      <w:pPr>
        <w:pStyle w:val="TDC2"/>
        <w:tabs>
          <w:tab w:val="right" w:leader="dot" w:pos="8830"/>
        </w:tabs>
        <w:rPr>
          <w:rFonts w:eastAsia="MS Mincho" w:cs="Arial"/>
          <w:iCs w:val="0"/>
          <w:noProof/>
          <w:szCs w:val="16"/>
          <w:lang w:eastAsia="ja-JP"/>
        </w:rPr>
      </w:pPr>
      <w:r w:rsidRPr="002A1DA6">
        <w:rPr>
          <w:rFonts w:cs="Arial"/>
          <w:noProof/>
          <w:szCs w:val="16"/>
        </w:rPr>
        <w:t>1.1. Reglamento de funcionamiento de los fondos de cesantías</w:t>
      </w:r>
    </w:p>
    <w:p w:rsidR="00AF5809" w:rsidRPr="002A1DA6" w:rsidRDefault="00AF5809">
      <w:pPr>
        <w:pStyle w:val="TDC2"/>
        <w:tabs>
          <w:tab w:val="right" w:leader="dot" w:pos="8830"/>
        </w:tabs>
        <w:rPr>
          <w:rFonts w:eastAsia="MS Mincho" w:cs="Arial"/>
          <w:iCs w:val="0"/>
          <w:noProof/>
          <w:szCs w:val="16"/>
          <w:lang w:eastAsia="ja-JP"/>
        </w:rPr>
      </w:pPr>
      <w:r w:rsidRPr="002A1DA6">
        <w:rPr>
          <w:rFonts w:cs="Arial"/>
          <w:noProof/>
          <w:szCs w:val="16"/>
        </w:rPr>
        <w:t>1.2. Régimen de gastos admisibles para los portafolios de corto y largo plazo del fondo de cesantías</w:t>
      </w:r>
    </w:p>
    <w:p w:rsidR="00AF5809" w:rsidRPr="002A1DA6" w:rsidRDefault="00AF5809">
      <w:pPr>
        <w:pStyle w:val="TDC2"/>
        <w:tabs>
          <w:tab w:val="right" w:leader="dot" w:pos="8830"/>
        </w:tabs>
        <w:rPr>
          <w:rFonts w:eastAsia="MS Mincho" w:cs="Arial"/>
          <w:iCs w:val="0"/>
          <w:noProof/>
          <w:szCs w:val="16"/>
          <w:lang w:eastAsia="ja-JP"/>
        </w:rPr>
      </w:pPr>
      <w:r w:rsidRPr="002A1DA6">
        <w:rPr>
          <w:rFonts w:cs="Arial"/>
          <w:noProof/>
          <w:szCs w:val="16"/>
        </w:rPr>
        <w:t>1.3. Comisiones</w:t>
      </w:r>
    </w:p>
    <w:p w:rsidR="000D457F" w:rsidRDefault="00AF5809">
      <w:pPr>
        <w:pStyle w:val="TDC2"/>
        <w:tabs>
          <w:tab w:val="right" w:leader="dot" w:pos="8830"/>
        </w:tabs>
        <w:rPr>
          <w:rFonts w:cs="Arial"/>
          <w:noProof/>
          <w:szCs w:val="16"/>
        </w:rPr>
      </w:pPr>
      <w:r w:rsidRPr="002A1DA6">
        <w:rPr>
          <w:rFonts w:cs="Arial"/>
          <w:noProof/>
          <w:szCs w:val="16"/>
        </w:rPr>
        <w:t>1.4. Auxilio de cesantía</w:t>
      </w:r>
    </w:p>
    <w:p w:rsidR="00AF5809" w:rsidRPr="002A1DA6" w:rsidRDefault="00AF5809">
      <w:pPr>
        <w:pStyle w:val="TDC2"/>
        <w:tabs>
          <w:tab w:val="right" w:leader="dot" w:pos="8830"/>
        </w:tabs>
        <w:rPr>
          <w:rFonts w:eastAsia="MS Mincho" w:cs="Arial"/>
          <w:iCs w:val="0"/>
          <w:noProof/>
          <w:szCs w:val="16"/>
          <w:lang w:eastAsia="ja-JP"/>
        </w:rPr>
      </w:pPr>
      <w:r w:rsidRPr="002A1DA6">
        <w:rPr>
          <w:rFonts w:cs="Arial"/>
          <w:noProof/>
          <w:szCs w:val="16"/>
        </w:rPr>
        <w:t>1.5. Mecanismo de protección al cesante</w:t>
      </w:r>
    </w:p>
    <w:p w:rsidR="00AF5809" w:rsidRPr="002A1DA6" w:rsidRDefault="00AF5809">
      <w:pPr>
        <w:pStyle w:val="TDC2"/>
        <w:tabs>
          <w:tab w:val="right" w:leader="dot" w:pos="8830"/>
        </w:tabs>
        <w:rPr>
          <w:rFonts w:eastAsia="MS Mincho" w:cs="Arial"/>
          <w:iCs w:val="0"/>
          <w:noProof/>
          <w:szCs w:val="16"/>
          <w:lang w:eastAsia="ja-JP"/>
        </w:rPr>
      </w:pPr>
      <w:r w:rsidRPr="002A1DA6">
        <w:rPr>
          <w:rFonts w:cs="Arial"/>
          <w:noProof/>
          <w:szCs w:val="16"/>
        </w:rPr>
        <w:t>1.6. Cesión de fondos de cesantía</w:t>
      </w:r>
    </w:p>
    <w:p w:rsidR="00AF5809" w:rsidRPr="002A1DA6" w:rsidRDefault="00AF5809">
      <w:pPr>
        <w:pStyle w:val="TDC2"/>
        <w:tabs>
          <w:tab w:val="right" w:leader="dot" w:pos="8830"/>
        </w:tabs>
        <w:rPr>
          <w:rFonts w:eastAsia="MS Mincho" w:cs="Arial"/>
          <w:iCs w:val="0"/>
          <w:noProof/>
          <w:szCs w:val="16"/>
          <w:lang w:eastAsia="ja-JP"/>
        </w:rPr>
      </w:pPr>
      <w:r w:rsidRPr="002A1DA6">
        <w:rPr>
          <w:rFonts w:cs="Arial"/>
          <w:noProof/>
          <w:szCs w:val="16"/>
        </w:rPr>
        <w:t>1.7. Índice representativo del mercado accionario del exterior</w:t>
      </w:r>
    </w:p>
    <w:p w:rsidR="00AF5809" w:rsidRPr="002A1DA6" w:rsidRDefault="00AF5809">
      <w:pPr>
        <w:pStyle w:val="TDC2"/>
        <w:tabs>
          <w:tab w:val="right" w:leader="dot" w:pos="8830"/>
        </w:tabs>
        <w:rPr>
          <w:rFonts w:eastAsia="MS Mincho" w:cs="Arial"/>
          <w:iCs w:val="0"/>
          <w:noProof/>
          <w:szCs w:val="16"/>
          <w:lang w:eastAsia="ja-JP"/>
        </w:rPr>
      </w:pPr>
      <w:r w:rsidRPr="002A1DA6">
        <w:rPr>
          <w:rFonts w:cs="Arial"/>
          <w:iCs w:val="0"/>
          <w:noProof/>
          <w:kern w:val="16"/>
          <w:szCs w:val="16"/>
        </w:rPr>
        <w:t>1.8. Información sobre los derechos y obligaciones de los afiliados y efectos de la selección o modificación de perfil de administración</w:t>
      </w:r>
    </w:p>
    <w:p w:rsidR="00AF5809" w:rsidRPr="002A1DA6" w:rsidRDefault="00AF5809">
      <w:pPr>
        <w:pStyle w:val="TDC2"/>
        <w:tabs>
          <w:tab w:val="right" w:leader="dot" w:pos="8830"/>
        </w:tabs>
        <w:rPr>
          <w:rFonts w:eastAsia="MS Mincho" w:cs="Arial"/>
          <w:iCs w:val="0"/>
          <w:noProof/>
          <w:szCs w:val="16"/>
          <w:lang w:eastAsia="ja-JP"/>
        </w:rPr>
      </w:pPr>
      <w:r w:rsidRPr="002A1DA6">
        <w:rPr>
          <w:rFonts w:cs="Arial"/>
          <w:noProof/>
          <w:szCs w:val="16"/>
        </w:rPr>
        <w:t>1.9. Definición o modificación del perfil de administración de aportes y/o recursos a los fondos de cesantías</w:t>
      </w:r>
    </w:p>
    <w:p w:rsidR="00AF5809" w:rsidRPr="002A1DA6" w:rsidRDefault="00AF5809">
      <w:pPr>
        <w:pStyle w:val="TDC2"/>
        <w:tabs>
          <w:tab w:val="right" w:leader="dot" w:pos="8830"/>
        </w:tabs>
        <w:rPr>
          <w:rFonts w:eastAsia="MS Mincho" w:cs="Arial"/>
          <w:iCs w:val="0"/>
          <w:noProof/>
          <w:szCs w:val="16"/>
          <w:lang w:eastAsia="ja-JP"/>
        </w:rPr>
      </w:pPr>
      <w:r w:rsidRPr="002A1DA6">
        <w:rPr>
          <w:rFonts w:cs="Arial"/>
          <w:noProof/>
          <w:color w:val="000000"/>
          <w:szCs w:val="16"/>
        </w:rPr>
        <w:t xml:space="preserve">1.10. </w:t>
      </w:r>
      <w:r w:rsidRPr="002A1DA6">
        <w:rPr>
          <w:rFonts w:cs="Arial"/>
          <w:noProof/>
          <w:szCs w:val="16"/>
          <w:lang w:val="es-ES"/>
        </w:rPr>
        <w:t>Criterios metodológicos para la conformación del componente de referencia a tener en cuenta en el cálculo de la rentabilidad mínima obligatoria</w:t>
      </w:r>
    </w:p>
    <w:p w:rsidR="00AF5809" w:rsidRPr="002A1DA6" w:rsidRDefault="009B14B4">
      <w:pPr>
        <w:rPr>
          <w:rFonts w:cs="Arial"/>
          <w:sz w:val="16"/>
          <w:szCs w:val="16"/>
        </w:rPr>
      </w:pPr>
      <w:r w:rsidRPr="002A1DA6">
        <w:rPr>
          <w:rFonts w:cs="Arial"/>
          <w:sz w:val="16"/>
          <w:szCs w:val="16"/>
        </w:rPr>
        <w:fldChar w:fldCharType="end"/>
      </w:r>
    </w:p>
    <w:p w:rsidR="00AF5809" w:rsidRPr="002A1DA6" w:rsidRDefault="00AF5809" w:rsidP="007004F4">
      <w:pP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es-ES"/>
        </w:rPr>
      </w:pPr>
    </w:p>
    <w:p w:rsidR="0077051F" w:rsidRDefault="0077051F" w:rsidP="008C02D3">
      <w:pPr>
        <w:jc w:val="center"/>
        <w:rPr>
          <w:rFonts w:cs="Arial"/>
          <w:b/>
          <w:sz w:val="16"/>
          <w:szCs w:val="16"/>
          <w:lang w:val="es-ES"/>
        </w:rPr>
        <w:sectPr w:rsidR="0077051F" w:rsidSect="000D457F">
          <w:headerReference w:type="default" r:id="rId8"/>
          <w:footerReference w:type="default" r:id="rId9"/>
          <w:pgSz w:w="12240" w:h="18720" w:code="14"/>
          <w:pgMar w:top="1418" w:right="1701" w:bottom="1418" w:left="1701" w:header="1134" w:footer="1134" w:gutter="0"/>
          <w:cols w:space="708"/>
          <w:docGrid w:linePitch="360"/>
        </w:sectPr>
      </w:pPr>
    </w:p>
    <w:p w:rsidR="00AF5809" w:rsidRPr="002A1DA6" w:rsidRDefault="00AF5809" w:rsidP="008C02D3">
      <w:pPr>
        <w:jc w:val="center"/>
        <w:rPr>
          <w:rFonts w:cs="Arial"/>
          <w:b/>
          <w:sz w:val="16"/>
          <w:szCs w:val="16"/>
          <w:lang w:val="es-ES"/>
        </w:rPr>
      </w:pPr>
    </w:p>
    <w:p w:rsidR="00AF5809" w:rsidRPr="002A1DA6" w:rsidRDefault="00AF5809" w:rsidP="008C02D3">
      <w:pPr>
        <w:jc w:val="center"/>
        <w:rPr>
          <w:rFonts w:cs="Arial"/>
          <w:b/>
          <w:sz w:val="16"/>
          <w:szCs w:val="16"/>
          <w:lang w:val="pt-BR"/>
        </w:rPr>
      </w:pPr>
      <w:r w:rsidRPr="002A1DA6">
        <w:rPr>
          <w:rFonts w:cs="Arial"/>
          <w:b/>
          <w:sz w:val="16"/>
          <w:szCs w:val="16"/>
          <w:lang w:val="pt-BR"/>
        </w:rPr>
        <w:t>PARTE II</w:t>
      </w:r>
    </w:p>
    <w:p w:rsidR="00AF5809" w:rsidRPr="002A1DA6" w:rsidRDefault="00AF5809" w:rsidP="008C02D3">
      <w:pPr>
        <w:jc w:val="center"/>
        <w:rPr>
          <w:rFonts w:cs="Arial"/>
          <w:b/>
          <w:sz w:val="16"/>
          <w:szCs w:val="16"/>
          <w:lang w:val="pt-BR"/>
        </w:rPr>
      </w:pPr>
      <w:r w:rsidRPr="002A1DA6">
        <w:rPr>
          <w:rFonts w:cs="Arial"/>
          <w:b/>
          <w:sz w:val="16"/>
          <w:szCs w:val="16"/>
          <w:lang w:val="pt-BR"/>
        </w:rPr>
        <w:t>MERCADO INTERMEDIADO</w:t>
      </w:r>
    </w:p>
    <w:p w:rsidR="00AF5809" w:rsidRPr="002A1DA6" w:rsidRDefault="00AF5809" w:rsidP="008C02D3">
      <w:pPr>
        <w:jc w:val="center"/>
        <w:rPr>
          <w:rFonts w:cs="Arial"/>
          <w:b/>
          <w:sz w:val="16"/>
          <w:szCs w:val="16"/>
          <w:lang w:val="pt-BR"/>
        </w:rPr>
      </w:pPr>
    </w:p>
    <w:p w:rsidR="00AF5809" w:rsidRPr="002A1DA6" w:rsidRDefault="00AF5809" w:rsidP="008C02D3">
      <w:pPr>
        <w:jc w:val="center"/>
        <w:rPr>
          <w:rFonts w:cs="Arial"/>
          <w:b/>
          <w:sz w:val="16"/>
          <w:szCs w:val="16"/>
          <w:lang w:val="pt-BR"/>
        </w:rPr>
      </w:pPr>
      <w:r w:rsidRPr="002A1DA6">
        <w:rPr>
          <w:rFonts w:cs="Arial"/>
          <w:b/>
          <w:sz w:val="16"/>
          <w:szCs w:val="16"/>
          <w:lang w:val="pt-BR"/>
        </w:rPr>
        <w:t>TÍTULO III</w:t>
      </w:r>
    </w:p>
    <w:p w:rsidR="00AF5809" w:rsidRPr="002A1DA6" w:rsidRDefault="00AF5809" w:rsidP="008C02D3">
      <w:pPr>
        <w:jc w:val="center"/>
        <w:rPr>
          <w:rFonts w:cs="Arial"/>
          <w:b/>
          <w:sz w:val="16"/>
          <w:szCs w:val="16"/>
        </w:rPr>
      </w:pPr>
      <w:r w:rsidRPr="002A1DA6">
        <w:rPr>
          <w:rFonts w:cs="Arial"/>
          <w:b/>
          <w:sz w:val="16"/>
          <w:szCs w:val="16"/>
        </w:rPr>
        <w:t>INSTRUCCIONES GENERALES RELATIVAS A LAS OPERACIONES DE LAS ENTIDADES ADMINISTRADORAS DE PENSIONES Y CESANTIAS</w:t>
      </w:r>
    </w:p>
    <w:p w:rsidR="00AF5809" w:rsidRPr="002A1DA6" w:rsidRDefault="00AF5809" w:rsidP="008C02D3">
      <w:pPr>
        <w:jc w:val="center"/>
        <w:rPr>
          <w:rFonts w:cs="Arial"/>
          <w:b/>
          <w:sz w:val="16"/>
          <w:szCs w:val="16"/>
        </w:rPr>
      </w:pPr>
    </w:p>
    <w:p w:rsidR="00AF5809" w:rsidRPr="002A1DA6" w:rsidRDefault="00AF5809" w:rsidP="008C02D3">
      <w:pPr>
        <w:jc w:val="center"/>
        <w:rPr>
          <w:rFonts w:cs="Arial"/>
          <w:b/>
          <w:sz w:val="16"/>
          <w:szCs w:val="16"/>
        </w:rPr>
      </w:pPr>
      <w:r w:rsidRPr="002A1DA6">
        <w:rPr>
          <w:rFonts w:cs="Arial"/>
          <w:b/>
          <w:sz w:val="16"/>
          <w:szCs w:val="16"/>
        </w:rPr>
        <w:t>CAPÍTULO III: DISPOSICIONES ESPECIALES APLICABLES A LA ADMINISTRACIÓN DE FONDOS DE CESANTÍAS</w:t>
      </w:r>
    </w:p>
    <w:p w:rsidR="00AF5809" w:rsidRPr="002A1DA6" w:rsidRDefault="00AF5809" w:rsidP="008C02D3">
      <w:pPr>
        <w:rPr>
          <w:rFonts w:cs="Arial"/>
          <w:b/>
          <w:sz w:val="16"/>
          <w:szCs w:val="16"/>
        </w:rPr>
      </w:pPr>
    </w:p>
    <w:p w:rsidR="00AF5809" w:rsidRPr="002A1DA6" w:rsidRDefault="00AF5809" w:rsidP="008101C7">
      <w:pPr>
        <w:rPr>
          <w:rFonts w:cs="Arial"/>
          <w:b/>
          <w:sz w:val="16"/>
          <w:szCs w:val="16"/>
        </w:rPr>
      </w:pPr>
    </w:p>
    <w:p w:rsidR="00AF5809" w:rsidRPr="002A1DA6" w:rsidRDefault="00AF5809" w:rsidP="008101C7">
      <w:pPr>
        <w:pStyle w:val="Ttulo1"/>
        <w:spacing w:before="0" w:after="0"/>
        <w:rPr>
          <w:rFonts w:cs="Arial"/>
          <w:sz w:val="16"/>
          <w:szCs w:val="16"/>
        </w:rPr>
      </w:pPr>
      <w:bookmarkStart w:id="0" w:name="_Toc264009212"/>
      <w:r w:rsidRPr="002A1DA6">
        <w:rPr>
          <w:rFonts w:cs="Arial"/>
          <w:sz w:val="16"/>
          <w:szCs w:val="16"/>
        </w:rPr>
        <w:t>1. Disposiciones relacionadas con los fondos administrados</w:t>
      </w:r>
      <w:bookmarkEnd w:id="0"/>
    </w:p>
    <w:p w:rsidR="00AF5809" w:rsidRPr="002A1DA6" w:rsidRDefault="00AF5809" w:rsidP="008C02D3">
      <w:pPr>
        <w:rPr>
          <w:rFonts w:cs="Arial"/>
          <w:b/>
          <w:sz w:val="16"/>
          <w:szCs w:val="16"/>
        </w:rPr>
      </w:pPr>
    </w:p>
    <w:p w:rsidR="00AF5809" w:rsidRPr="002A1DA6" w:rsidRDefault="00AF5809" w:rsidP="008C02D3">
      <w:pPr>
        <w:pStyle w:val="Ttulo2"/>
        <w:spacing w:before="0" w:after="0"/>
        <w:rPr>
          <w:rFonts w:cs="Arial"/>
          <w:sz w:val="16"/>
          <w:szCs w:val="16"/>
        </w:rPr>
      </w:pPr>
      <w:bookmarkStart w:id="1" w:name="_Toc264009213"/>
      <w:r w:rsidRPr="002A1DA6">
        <w:rPr>
          <w:rFonts w:cs="Arial"/>
          <w:sz w:val="16"/>
          <w:szCs w:val="16"/>
        </w:rPr>
        <w:t>1.1. Reglamento de funcionamiento de los fondos de cesantías</w:t>
      </w:r>
      <w:bookmarkEnd w:id="1"/>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El art. 160 del EOSF dispone que todo fondo de cesantía debe tener un reglamento de funcionamiento, aprobado de manera general o individual por la SFC.</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En virtud de lo anterior, se ha considerado procedente impartir las siguientes instrucciones, en orden a facilitar el ejercicio de la actividad de estos fondos dentro de las normas legales vigentes:</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 xml:space="preserve">1.1.1. Régimen de aprobación general </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Se entienden aprobados por la SFC todos los reglamentos de funcionamiento de los fondos de cesantía, debidamente adoptados por la junta directiva o el órgano competente de la respectiva sociedad administradora, siempre y cuando el contenido de sus previsiones se ajuste cabalmente a las exigencias mínimas que se señalan a continuación:</w:t>
      </w:r>
    </w:p>
    <w:p w:rsidR="00AF5809" w:rsidRPr="002A1DA6" w:rsidRDefault="00AF5809" w:rsidP="008C02D3">
      <w:pPr>
        <w:rPr>
          <w:rFonts w:cs="Arial"/>
          <w:b/>
          <w:sz w:val="16"/>
          <w:szCs w:val="16"/>
        </w:rPr>
      </w:pPr>
    </w:p>
    <w:p w:rsidR="00AF5809" w:rsidRPr="002A1DA6" w:rsidRDefault="00AF5809" w:rsidP="008C02D3">
      <w:pPr>
        <w:rPr>
          <w:rFonts w:cs="Arial"/>
          <w:sz w:val="16"/>
          <w:szCs w:val="16"/>
        </w:rPr>
      </w:pPr>
      <w:r w:rsidRPr="002A1DA6">
        <w:rPr>
          <w:rFonts w:cs="Arial"/>
          <w:sz w:val="16"/>
          <w:szCs w:val="16"/>
        </w:rPr>
        <w:t>1.1.1.1. Denominación del fondo</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El fondo de cesantía se denominará “Fondo de Cesantías XXX” o “XX Fondo de Cesantías”; en consecuencia, cuando se utilice esta expresión en los diversos contratos o documentos que se suscriban y en las disposiciones internas de la sociedad administradora, debe entenderse que se hace referencia al fondo de cesantía.</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1.1.1.2. Naturaleza jurídica del fondo</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El fondo de cesantía es un patrimonio autónomo independiente del patrimonio de la sociedad administradora, conformado por cuentas de capitalización individual representadas en unidades. Cada cuenta individual debe tener 2 subcuentas, una de corto plazo que corresponde al portafolio de corto plazo y una de largo plazo que corresponde al portafolio de largo plazo.</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1.1.1.3. Partícipes del fondo</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Son partícipes del fondo de cesantía las personas que se relacionan a continuación:</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1.1.1.3.1. Los trabajadores particulares vinculados mediante contratos de trabajo que se afilien al fondo.</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1.1.1.3.2. Los trabajadores particulares que, no obstante hallarse vinculados mediante contratos de trabajo celebrados con anterioridad a la Ley 50 de 1990, se hayan acogido voluntariamente al régimen especial de auxilio de cesantía previsto en los arts. 99 y siguientes de dicha ley y se hayan afiliado al fondo.</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1.1.1.3.3. Las personas naturales que, sin estar subordinadas a un empleador, realicen personal y directamente una actividad económica o, quienes siendo empleadores laboren en su propia empresa y decidan voluntariamente afiliarse al fondo.</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1.1.1.4. Recursos de los portafolios del fondo de cesantía</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Los portafolios del fondo de cesantía t</w:t>
      </w:r>
      <w:r w:rsidR="00A07791" w:rsidRPr="002A1DA6">
        <w:rPr>
          <w:rFonts w:cs="Arial"/>
          <w:sz w:val="16"/>
          <w:szCs w:val="16"/>
        </w:rPr>
        <w:t>ienen</w:t>
      </w:r>
      <w:r w:rsidRPr="002A1DA6">
        <w:rPr>
          <w:rFonts w:cs="Arial"/>
          <w:sz w:val="16"/>
          <w:szCs w:val="16"/>
        </w:rPr>
        <w:t xml:space="preserve"> las siguientes fuentes de recursos:</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1.1.1.4.1. Las sumas que por concepto de auxilio de cesantía sean aportadas de conformidad con lo previsto en el los arts. 249 a 258 del CST y arts. 98 a 106 de la Ley 50 de 1990.</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1.1.1.4.2. Las sumas entregadas como aportes voluntarios por los afiliados independientes a que se refiere el subnumeral 1.1.1.3.3. anterior.</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1.1.1.4.3. Los rendimientos generados por los activos que integran los portafolios del fondo, cualquiera que sea su naturaleza.</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1.1.1.4.4. El producto de las operaciones de venta de activos, así como los créditos que puedan obtenerse, y</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1.1.1.4.5. Cualquier otro ingreso que resulte a favor de los portafolios del fondo.</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1.1.1.5. Destinación de los recursos de los portafolios del fondo</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 xml:space="preserve">Los recursos de los portafolios de corto y largo plazo del fondo deben destinarse única y exclusivamente a su inversión en valores de adecuada rentabilidad, seguridad y liquidez, en las condiciones y con sujeción a las limitaciones que para el efecto establezca el Gobierno Nacional. </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1.1.1.6. Operaciones no autorizadas</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En la realización de las operaciones con recursos de los portafolios del fondo de cesantía las administradoras deben abstenerse de:</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1.1.1.6.1. Conceder créditos a cualquier título con los dineros de los portafolios del fondo.</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lastRenderedPageBreak/>
        <w:t>1.1.1.6.2. Dar en prenda los activos de los portafolios del fondo, otorgar avales o establecer cualquier otro gravamen que comprometa dichos activos, salvo cuando se trate de actos destinados a garantizar créditos obtenidos para la adquisición de los mismos o exista autorización expresa por parte del Gobierno Nacional.</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1.1.1.6.3. Celebrar con los activos de los portafolios del fondo operaciones que no estén permitidas en su régimen de inversiones o en porcentajes superiores a los permitidos en el mismo.</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1.1.1.6.4. Actuar como contraparte de los portafolios del fondo en desarrollo de los negocios que constituyen el giro ordinario de éste.</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1.1.1.6.5. Con excepción de los comisionistas de bolsa y corredores de valores, utilizar agentes, mandatarios u otro tipo de intermediarios en la realización de las operaciones propias de la administración de los portafolios del fondo, a menos que ello resulte indispensable para la realización de la operación propuesta.</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1.1.1.6.6. Delegar, de cualquier manera, las funciones y responsabilidades que como administrador de los portafolios</w:t>
      </w:r>
      <w:r w:rsidRPr="002A1DA6">
        <w:rPr>
          <w:rFonts w:cs="Arial"/>
          <w:b/>
          <w:sz w:val="16"/>
          <w:szCs w:val="16"/>
        </w:rPr>
        <w:t xml:space="preserve"> </w:t>
      </w:r>
      <w:r w:rsidRPr="002A1DA6">
        <w:rPr>
          <w:rFonts w:cs="Arial"/>
          <w:sz w:val="16"/>
          <w:szCs w:val="16"/>
        </w:rPr>
        <w:t>del fondo le corresponden.</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1.1.1.6.7. Llevar a cabo prácticas inequitativas o discriminatorias en detrimento de los intereses de los afiliados.</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1.1.1.6.8. Rechazar los dineros correspondientes al auxilio de cesantía que consignen los empleadores y aportantes independientes.</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1.1.1.7. Derechos de los afiliados</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Además de los derechos que por ley les corresponden y de los establecidos en el art. 2.6.7.1.3 del Decreto 2555 de 2010, los afiliados al fondo tienen los siguientes:</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1.1.1.7.1. Poseer una cuenta de capitalización individual representada en unidades, en la que se refleje diariamente el valor de los portafolios del fondo.</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1.1.1.7.2. Participar de los rendimientos financieros generados por los portafolios del fondo, sea que ellos se deriven de intereses causados, dividendos, valorizaciones de los activos que los integran o cualquier otro ingreso que corresponda al giro ordinario de sus operaciones, determinados a través de métodos de reconocido valor técnico.</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1.1.1.7.3. Retirarse del fondo</w:t>
      </w:r>
      <w:r w:rsidRPr="002A1DA6">
        <w:rPr>
          <w:rFonts w:cs="Arial"/>
          <w:b/>
          <w:sz w:val="16"/>
          <w:szCs w:val="16"/>
        </w:rPr>
        <w:t xml:space="preserve"> </w:t>
      </w:r>
      <w:r w:rsidRPr="002A1DA6">
        <w:rPr>
          <w:rFonts w:cs="Arial"/>
          <w:sz w:val="16"/>
          <w:szCs w:val="16"/>
        </w:rPr>
        <w:t>en los casos previstos</w:t>
      </w:r>
      <w:r w:rsidRPr="002A1DA6">
        <w:rPr>
          <w:rFonts w:cs="Arial"/>
          <w:b/>
          <w:sz w:val="16"/>
          <w:szCs w:val="16"/>
        </w:rPr>
        <w:t xml:space="preserve"> </w:t>
      </w:r>
      <w:r w:rsidRPr="002A1DA6">
        <w:rPr>
          <w:rFonts w:cs="Arial"/>
          <w:sz w:val="16"/>
          <w:szCs w:val="16"/>
        </w:rPr>
        <w:t>por las normas legales vigentes.</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1.1.1.7.4. Obtener la información financiera relativa al fondo que señale la SFC.</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1.1.1.7.5. Tener acceso permanente a la información sobre el saldo en unidades y en pesos de su cuenta de capitalización individual y sobre las comisiones cobradas por la sociedad administradora, por los medios aprobados por la SFC.</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1.1.1.7.6. Recibir, por lo menos semestralmente, un extracto de su cuenta de capitalización individual de acuerdo con lo que para el efecto señale la SFC.</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1.1.1.7.7. Ser informado del valor de la comisión de manejo y de retiro de los portafolios del fondo y de los cambios que, previa aprobación de la junta directiva de la sociedad administradora, se efectúen a las mismas.</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1.1.1.7.8. Transferir el valor de sus unidades a otra sociedad administradora, o entre los portafolios del mismo fondo previo aviso por escrito en los términos y condiciones determinadas al efecto por la ley.</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1.1.1.7.9. Participar con voz y voto en la asamblea de afiliados. El afiliado tendrá tantos votos como unidades posea en el fondo.</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1.1.1.7.10. Destinar parcial o totalmente las cesantías causadas o por causarse, en forma libre y voluntaria, en el marco del mecanismo de protección al cesante definido en la Ley 1636 de 2013 y Decreto 135 de 2014.</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1.1.1.8. Obligaciones y prohibiciones de los afiliados</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Los afiliados no pueden afiliarse a más de un fondo de cesantía por cada contrato de trabajo celebrado con un mismo empleador y están sujetos a las siguientes obligaciones, sin perjuicio de las adicionales que les señale la ley:</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 xml:space="preserve">1.1.1.8.1. Pagar la comisión de manejo pactada, siempre que el portafolio del fondo obtenga una rentabilidad superior a la mínima establecida por el Gobierno Nacional. </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 xml:space="preserve">1.1.1.8.2. Dar aviso, tanto a la sociedad administradora como a su empleador, de su deseo de transferir el valor de sus unidades a otra sociedad administradora, en los términos y condiciones señalados por la ley; y </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1.1.1.8.3. Cumplir con el procedimiento señalado en la ley para efectos del retiro definitivo o anticipado de cada uno de los portafolios del fondo.</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1.1.1.9. Derechos de la sociedad administradora</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Además de los derechos que por ley le corresponden, la sociedad administradora tiene los siguientes:</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1.1.1.9.1. Definir, dentro del marco señalado por la ley, la composición de los portafolios de inversiones.</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 xml:space="preserve">1.1.1.9.2. Celebrar con los activos de los portafolios del fondo operaciones de reporto hasta el </w:t>
      </w:r>
      <w:r w:rsidR="005E4F80" w:rsidRPr="002A1DA6">
        <w:rPr>
          <w:rFonts w:cs="Arial"/>
          <w:sz w:val="16"/>
          <w:szCs w:val="16"/>
        </w:rPr>
        <w:t>límite</w:t>
      </w:r>
      <w:r w:rsidRPr="002A1DA6">
        <w:rPr>
          <w:rFonts w:cs="Arial"/>
          <w:sz w:val="16"/>
          <w:szCs w:val="16"/>
        </w:rPr>
        <w:t xml:space="preserve"> señalado en su régimen de inversiones y en los porcentajes permitidos en el mismo.</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 xml:space="preserve">1.1.1.9.3. Recibir la comisión prevista por ley para cada uno de los portafolios. </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 xml:space="preserve">1.1.1.9.4. Exigir, si así lo estima conveniente, la autenticación y el reconocimiento de firmas en los documentos de vinculación y retiro del fondo; y  </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lastRenderedPageBreak/>
        <w:t>1.1.1.9.5. Previa solicitud del trabajador y a costa de éste, adelantar ante las autoridades competentes las respectivas acciones de cobro derivadas del incumplimiento de la obligación, a cargo del empleador, de entregar a satisfacción el auxilio de cesantía liquidado anualmente.</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1.1.1.10. Obligaciones de la sociedad administradora</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Además de las contempladas en el art. 31 del EOSF y de las que se deriven de la adecuada administración de los portafolios administrados, la sociedad administradora tiene las siguientes obligaciones:</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1.1.1.10.1. Desplegar todo su esfuerzo, conocimiento y diligencia en la administración de los recursos que conforman el fondo.</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1.1.1.10.2. Mantener los activos y pasivos del portafolio de corto plazo separados de los del portafolio de largo plazo, de los demás fondos administrados y de los activos de su propiedad, de suerte que en todo momento pueda conocerse si un bien determinado es de propiedad del portafolio de corto o largo plazo, de otro fondo administrado por la misma entidad o de la sociedad.</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1.1.1.10.3. Conservar actualizada y en orden cronológico la información y documentación relativa a las operaciones de cada uno de los portafolios.</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1.1.1.10.4. Enviar, por lo menos semestralmente, extractos de cuenta de los movimientos de cada una de las subcuentas del afiliado, con sujeción a las instrucciones contenidas en este capítulo.</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1.1.1.10.5. Mantener cuentas corrientes o de ahorro destinadas a manejar exclusivamente los recursos administrados. En este caso, debe identificarse claramente el portafolio al cual pertenece la cuenta.</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1.1.1.10.6. Cobrar oportunamente los rendimientos financieros generados por los activos que integran los portafolios.</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1.1.1.10.7. Abonar diariamente a cada trabajador afiliado y a prorrata de sus aportes individuales, la parte que le corresponda en los rendimientos obtenidos por el respectivo portafolio.</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1.1.1.10.8. Hacer efectivas en los términos de ley las sumas de las subcuentas de capitalización que un trabajador desee transferir a otro fondo de la misma naturaleza. En este caso, los documentos que le sirvan de soporte al traslado deben ir firmados por el trabajador, acompañados de fotocopia de su documento de identidad.</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 xml:space="preserve">1.1.1.10.9. Suministrar al afiliado las informaciones de que trata el subnumeral 1.1.1.7 del presente Capítulo </w:t>
      </w:r>
    </w:p>
    <w:p w:rsidR="00AF5809" w:rsidRPr="002A1DA6" w:rsidRDefault="00AF5809" w:rsidP="008816AE">
      <w:pPr>
        <w:rPr>
          <w:rFonts w:cs="Arial"/>
          <w:sz w:val="16"/>
          <w:szCs w:val="16"/>
        </w:rPr>
      </w:pPr>
    </w:p>
    <w:p w:rsidR="00AF5809" w:rsidRPr="002A1DA6" w:rsidRDefault="00AF5809" w:rsidP="008816AE">
      <w:pPr>
        <w:rPr>
          <w:rFonts w:cs="Arial"/>
          <w:spacing w:val="20"/>
          <w:sz w:val="16"/>
          <w:szCs w:val="16"/>
        </w:rPr>
      </w:pPr>
      <w:r w:rsidRPr="002A1DA6">
        <w:rPr>
          <w:rFonts w:cs="Arial"/>
          <w:sz w:val="16"/>
          <w:szCs w:val="16"/>
        </w:rPr>
        <w:t xml:space="preserve">1.1.1.10.10. Valorar  los portafolios de corto y largo plazo del fondo. </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1.1.1.10.11. Garantizar la rentabilidad mínima.</w:t>
      </w:r>
    </w:p>
    <w:p w:rsidR="00AF5809" w:rsidRPr="002A1DA6" w:rsidRDefault="00AF5809" w:rsidP="008C02D3">
      <w:pPr>
        <w:rPr>
          <w:rFonts w:cs="Arial"/>
          <w:b/>
          <w:sz w:val="16"/>
          <w:szCs w:val="16"/>
        </w:rPr>
      </w:pPr>
    </w:p>
    <w:p w:rsidR="00AF5809" w:rsidRPr="002A1DA6" w:rsidRDefault="00AF5809" w:rsidP="008C02D3">
      <w:pPr>
        <w:rPr>
          <w:rFonts w:cs="Arial"/>
          <w:sz w:val="16"/>
          <w:szCs w:val="16"/>
        </w:rPr>
      </w:pPr>
      <w:r w:rsidRPr="002A1DA6">
        <w:rPr>
          <w:rFonts w:cs="Arial"/>
          <w:sz w:val="16"/>
          <w:szCs w:val="16"/>
        </w:rPr>
        <w:t>Las obligaciones que asume la sociedad administradora tienen el carácter de obligaciones de resultado, solo en cuanto se garantiza a los afiliados que la rentabilidad de cada uno de los portafolios del fondo en ningún caso sea inferior a la rentabilidad mínima obligatoria calculada y divulgada por la SFC, de conformidad con lo dispuesto por las normas legales vigentes.</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 xml:space="preserve">Para tales efectos, la sociedad administradora debe responder con su propio patrimonio, bien sea directamente o a través de la reserva de estabilización de rendimientos que se constituye como parte del mismo en los términos y condiciones al efecto señalados en los arts. 2.6.4.1.1. y siguientes del Decreto 2555 de 2010. </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1.1.1.11. Procedimiento para determinar la rentabilidad de los portafolios del fondo</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Sin perjuicio de lo dispuesto en el subnumeral 1.1.1.10.11. al cierre de cada mes, se establecerá la rentabilidad alcanzada por los portafolios. Para tal efecto, se seguirá el procedimiento señalado en las disposiciones legales respectivas, al igual que las instrucciones que sobre el particular imparta la SFC.</w:t>
      </w:r>
    </w:p>
    <w:p w:rsidR="00AF5809" w:rsidRPr="002A1DA6" w:rsidRDefault="00AF5809" w:rsidP="008C02D3">
      <w:pPr>
        <w:rPr>
          <w:rFonts w:cs="Arial"/>
          <w:b/>
          <w:sz w:val="16"/>
          <w:szCs w:val="16"/>
        </w:rPr>
      </w:pPr>
    </w:p>
    <w:p w:rsidR="00AF5809" w:rsidRPr="002A1DA6" w:rsidRDefault="00AF5809" w:rsidP="008C02D3">
      <w:pPr>
        <w:rPr>
          <w:rFonts w:cs="Arial"/>
          <w:sz w:val="16"/>
          <w:szCs w:val="16"/>
        </w:rPr>
      </w:pPr>
      <w:r w:rsidRPr="002A1DA6">
        <w:rPr>
          <w:rFonts w:cs="Arial"/>
          <w:sz w:val="16"/>
          <w:szCs w:val="16"/>
        </w:rPr>
        <w:t>1.1.1.12. Gastos de los portafolios del fondo</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Son de cargo de cada portafolio, los gastos a que se refiere el subnumeral 1.2 siguiente del presente capítulo y que se imputen al mismo por la sociedad administradora.</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1.1.1.13. Procedimiento de ingreso al fondo</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Tratándose de trabajadores particulares, la afiliación se produce desde el momento en que el empleador consigne el valor liquidado por concepto de auxilio de cesantía en la cuenta de capitalización individual a nombre de cada trabajador en el fondo. En este evento, al comprobante de consignación debe acompañarse la respectiva liquidación detallada por cada trabajador, firmada tanto por el empleador como por cada uno de éstos, al igual que fotocopia de los correspondientes documentos de identificación de los afiliados, de acuerdo con lo establecido en el subnumeral 1.4 del presente Capítulo. En todo caso, la afiliación se produce desde la fecha de la consignación.</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Las personas naturales no subordinadas o las que sean empleadores y laboren en su propia empresa quedan afiliadas al fondo desde el momento en que efectúan la primera consignación. La sociedad administradora puede verificar la autenticidad de los documentos presentados.</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Para efectos del procedimiento de ingreso, se deben seguir las instrucciones señaladas en el subnumeral 1.4 del presente Capítulo en materia del contenido mínimo de los documentos que deben utilizarse para tal efecto.</w:t>
      </w:r>
    </w:p>
    <w:p w:rsidR="00AF5809" w:rsidRPr="002A1DA6" w:rsidRDefault="00AF5809" w:rsidP="008C02D3">
      <w:pPr>
        <w:rPr>
          <w:rFonts w:cs="Arial"/>
          <w:sz w:val="16"/>
          <w:szCs w:val="16"/>
        </w:rPr>
      </w:pPr>
    </w:p>
    <w:p w:rsidR="00AF5809" w:rsidRDefault="00AF5809" w:rsidP="008C02D3">
      <w:pPr>
        <w:rPr>
          <w:rFonts w:cs="Arial"/>
          <w:sz w:val="16"/>
          <w:szCs w:val="16"/>
        </w:rPr>
      </w:pPr>
      <w:r w:rsidRPr="002A1DA6">
        <w:rPr>
          <w:rFonts w:cs="Arial"/>
          <w:sz w:val="16"/>
          <w:szCs w:val="16"/>
        </w:rPr>
        <w:t>La sociedad administradora debe llevar un registro de afiliados, que contenga las unidades que posee cada afiliado, las pignoraciones sobre la cesantía, la fecha de ingreso al fondo y los retiros y consignaciones hechas en cada una de las subcuentas.</w:t>
      </w:r>
    </w:p>
    <w:p w:rsidR="003F7DE2" w:rsidRDefault="003F7DE2" w:rsidP="008C02D3">
      <w:pPr>
        <w:rPr>
          <w:rFonts w:cs="Arial"/>
          <w:sz w:val="16"/>
          <w:szCs w:val="16"/>
        </w:rPr>
      </w:pPr>
    </w:p>
    <w:p w:rsidR="003F7DE2" w:rsidRDefault="003F7DE2" w:rsidP="008C02D3">
      <w:pPr>
        <w:rPr>
          <w:rFonts w:cs="Arial"/>
          <w:sz w:val="16"/>
          <w:szCs w:val="16"/>
        </w:rPr>
      </w:pPr>
    </w:p>
    <w:p w:rsidR="003F7DE2" w:rsidRPr="002A1DA6" w:rsidRDefault="003F7DE2" w:rsidP="008C02D3">
      <w:pPr>
        <w:rPr>
          <w:rFonts w:cs="Arial"/>
          <w:sz w:val="16"/>
          <w:szCs w:val="16"/>
        </w:rPr>
      </w:pP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lastRenderedPageBreak/>
        <w:t>1.1.1.14. Retiro del fondo</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El retiro del afiliado del fondo puede producirse por:</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1.1.1.14.1. Por muerte del afiliado</w:t>
      </w:r>
    </w:p>
    <w:p w:rsidR="00AF5809" w:rsidRPr="002A1DA6" w:rsidRDefault="00AF5809" w:rsidP="008C02D3">
      <w:pPr>
        <w:rPr>
          <w:rFonts w:cs="Arial"/>
          <w:sz w:val="16"/>
          <w:szCs w:val="16"/>
        </w:rPr>
      </w:pPr>
      <w:r w:rsidRPr="002A1DA6">
        <w:rPr>
          <w:rFonts w:cs="Arial"/>
          <w:sz w:val="16"/>
          <w:szCs w:val="16"/>
        </w:rPr>
        <w:t>1.1.1.14.2. Por terminación del contrato de trabajo por cualquier causa, cuando se hace la solicitud de retiro de los recursos</w:t>
      </w:r>
    </w:p>
    <w:p w:rsidR="00AF5809" w:rsidRPr="002A1DA6" w:rsidRDefault="00AF5809" w:rsidP="008C02D3">
      <w:pPr>
        <w:rPr>
          <w:rFonts w:cs="Arial"/>
          <w:sz w:val="16"/>
          <w:szCs w:val="16"/>
        </w:rPr>
      </w:pPr>
      <w:r w:rsidRPr="002A1DA6">
        <w:rPr>
          <w:rFonts w:cs="Arial"/>
          <w:sz w:val="16"/>
          <w:szCs w:val="16"/>
        </w:rPr>
        <w:t>1.1.1.14.3. Por voluntad propia, tratándose de afiliados independientes</w:t>
      </w:r>
    </w:p>
    <w:p w:rsidR="00AF5809" w:rsidRPr="002A1DA6" w:rsidRDefault="00AF5809" w:rsidP="008C02D3">
      <w:pPr>
        <w:rPr>
          <w:rFonts w:cs="Arial"/>
          <w:sz w:val="16"/>
          <w:szCs w:val="16"/>
        </w:rPr>
      </w:pPr>
      <w:r w:rsidRPr="002A1DA6">
        <w:rPr>
          <w:rFonts w:cs="Arial"/>
          <w:sz w:val="16"/>
          <w:szCs w:val="16"/>
        </w:rPr>
        <w:t>1.1.1.14.4. Por traslado a otra sociedad administradora</w:t>
      </w:r>
    </w:p>
    <w:p w:rsidR="00AF5809" w:rsidRPr="002A1DA6" w:rsidRDefault="00AF5809" w:rsidP="008C02D3">
      <w:pPr>
        <w:rPr>
          <w:rFonts w:cs="Arial"/>
          <w:sz w:val="16"/>
          <w:szCs w:val="16"/>
        </w:rPr>
      </w:pPr>
      <w:r w:rsidRPr="002A1DA6">
        <w:rPr>
          <w:rFonts w:cs="Arial"/>
          <w:sz w:val="16"/>
          <w:szCs w:val="16"/>
        </w:rPr>
        <w:t>1.1.1.14.5. Por sustitución patronal, cuando se den las circunstancias previstas en el numeral 4. del art. 69 del Código Sustantivo de Trabajo</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1.1.1.15. Procedimiento en caso de retiro</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Terminado el contrato de trabajo por muerte del afiliado, la entrega de las sumas correspondientes debe hacerse con sujeción al procedimiento establecido en el art. 258 del Código Sustantivo de Trabajo y demás disposiciones aplicables sobre la materia.</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Cuando la terminación del contrato de trabajo ocurra por cualquiera de las causales previstas en la ley laboral, distintas a la de la muerte del trabajador, basta la solicitud del afiliado para el retiro total de las sumas de dinero abonadas en su cuenta, presentada en los términos y condiciones que señale la ley. En este caso, la sociedad administradora debe entregar al trabajador las sumas a su favor dentro de los 5 días hábiles siguientes a la presentación de la solicitud.</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En los tres últimos eventos previstos en el subnumeral anterior, para el retiro de las sumas de dinero abonadas en las subcuentas del afiliado basta la solicitud de éste, presentada en los términos y condiciones que señale la ley.</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Tratándose de retiros anticipados de las sumas abonadas en las subcuentas del afiliado como consecuencia de la liquidación y pago parcial de las cesantías con destino a la adquisición, construcción, mejora o liberación de bienes raíces destinados a la vivienda del afiliado, la sociedad administradora debe efectuar el giro correspondiente y descontar el anticipo del saldo que aquel posea, desde la fecha de la entrega efectiva, previa solicitud formulada por el afiliado y observancia de los requisitos y formalidades al efecto consagrados por la ley.</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En el evento en que la solicitud de retiro anticipado la formule el afiliado para financiar los pagos por concepto de matrículas en instituciones de educación superior debidamente reconocidas por el estado, bien sean suyas o de su cónyuge, compañero o compañera permanente, o de sus hijos, la sociedad administradora debe efectuar el giro correspondiente directamente a la entidad educativa y descontar el anticipo del saldo que aquel posea en sus subcuentas, desde la fecha de la entrega efectiva, siempre que se cumplan los requisitos y formalidades consagrados por la ley. Igualmente se pueden realizar retiros de cesantías para educación -no formal- para el trabajo y desarrollo humano, atendiendo lo establecido en la Ley 1064 de 2006.</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 xml:space="preserve">Tratándose de afiliados servidores públicos debe cumplirse lo dispuesto en la Ley 1071 de 2006. </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1.1.1.16. Retención de cesantías</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En aquellos eventos en que el empleador esté autorizado para retener la cesantía, o abonar a gravámenes o préstamos su pago, la sociedad administradora debe efectuar la retención correspondiente o el pago, según el caso, previa solicitud presentada por aquél, acompañada de prueba que demuestre el cumplimiento de los requisitos señalados en la ley laboral sobre el particular.</w:t>
      </w:r>
    </w:p>
    <w:p w:rsidR="00AF5809" w:rsidRPr="002A1DA6" w:rsidRDefault="00AF5809" w:rsidP="008C02D3">
      <w:pPr>
        <w:rPr>
          <w:rFonts w:cs="Arial"/>
          <w:b/>
          <w:sz w:val="16"/>
          <w:szCs w:val="16"/>
        </w:rPr>
      </w:pPr>
    </w:p>
    <w:p w:rsidR="00AF5809" w:rsidRPr="002A1DA6" w:rsidRDefault="00AF5809" w:rsidP="008C02D3">
      <w:pPr>
        <w:rPr>
          <w:rFonts w:cs="Arial"/>
          <w:sz w:val="16"/>
          <w:szCs w:val="16"/>
        </w:rPr>
      </w:pPr>
      <w:r w:rsidRPr="002A1DA6">
        <w:rPr>
          <w:rFonts w:cs="Arial"/>
          <w:sz w:val="16"/>
          <w:szCs w:val="16"/>
        </w:rPr>
        <w:t>1.1.1.17. Comisión de manejo</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Siempre que se supere la rentabilidad mínima a que se refiere el 1.1.1.10.11 del presente Capítulo, la sociedad administradora tiene derecho a cobrar por la administración de los portafolios, la comisión que al efecto determine la misma sociedad, con sujeción a lo señalado al efecto por la SFC.</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1.1.1.18. Contratos con entidades financieras</w:t>
      </w:r>
    </w:p>
    <w:p w:rsidR="00AF5809" w:rsidRPr="002A1DA6" w:rsidRDefault="00AF5809" w:rsidP="008C02D3">
      <w:pPr>
        <w:rPr>
          <w:rFonts w:cs="Arial"/>
          <w:b/>
          <w:sz w:val="16"/>
          <w:szCs w:val="16"/>
        </w:rPr>
      </w:pPr>
    </w:p>
    <w:p w:rsidR="00AF5809" w:rsidRPr="002A1DA6" w:rsidRDefault="00AF5809" w:rsidP="008C02D3">
      <w:pPr>
        <w:rPr>
          <w:rFonts w:cs="Arial"/>
          <w:sz w:val="16"/>
          <w:szCs w:val="16"/>
        </w:rPr>
      </w:pPr>
      <w:r w:rsidRPr="002A1DA6">
        <w:rPr>
          <w:rFonts w:cs="Arial"/>
          <w:sz w:val="16"/>
          <w:szCs w:val="16"/>
        </w:rPr>
        <w:t>La sociedad administradora puede celebrar contratos para la utilización de la red de oficinas de los bancos, corporaciones financieras, compañías de financiamiento y organismos cooperativos de grado superior de carácter financiero, como apoyo para la ejecución de sus negocios, en los casos y con sujeción a las condiciones señaladas en el numeral 2 del art. 158 del EOSF.</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1.1.1.19. Duración del fondo</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El fondo debe tener una duración igual a la de la sociedad administradora, sin perjuicio de que, previa autorización de la SFC se produzca su disolución anticipada.</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1.1.1.20. Disolución del fondo</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 xml:space="preserve">Son causales de disolución del fondo: </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 xml:space="preserve">1.1.1.20.1. La expiración del plazo establecido para su duración, y </w:t>
      </w:r>
    </w:p>
    <w:p w:rsidR="00AF5809" w:rsidRPr="002A1DA6" w:rsidRDefault="00AF5809" w:rsidP="008C02D3">
      <w:pPr>
        <w:rPr>
          <w:rFonts w:cs="Arial"/>
          <w:sz w:val="16"/>
          <w:szCs w:val="16"/>
        </w:rPr>
      </w:pPr>
      <w:r w:rsidRPr="002A1DA6">
        <w:rPr>
          <w:rFonts w:cs="Arial"/>
          <w:sz w:val="16"/>
          <w:szCs w:val="16"/>
        </w:rPr>
        <w:t>1.1.1.20.2. La orden de autoridad competente debidamente ejecutoriada.</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1.1.1.21. Modificaciones y adiciones</w:t>
      </w:r>
    </w:p>
    <w:p w:rsidR="00AF5809" w:rsidRPr="002A1DA6" w:rsidRDefault="00AF5809" w:rsidP="008C02D3">
      <w:pPr>
        <w:rPr>
          <w:rFonts w:cs="Arial"/>
          <w:b/>
          <w:sz w:val="16"/>
          <w:szCs w:val="16"/>
        </w:rPr>
      </w:pPr>
    </w:p>
    <w:p w:rsidR="00AF5809" w:rsidRPr="002A1DA6" w:rsidRDefault="00AF5809" w:rsidP="008C02D3">
      <w:pPr>
        <w:rPr>
          <w:rFonts w:cs="Arial"/>
          <w:b/>
          <w:sz w:val="16"/>
          <w:szCs w:val="16"/>
        </w:rPr>
      </w:pPr>
      <w:r w:rsidRPr="002A1DA6">
        <w:rPr>
          <w:rFonts w:cs="Arial"/>
          <w:sz w:val="16"/>
          <w:szCs w:val="16"/>
        </w:rPr>
        <w:t>Cualquier adición o modificación que se pretenda introducir al reglamento debe ser previamente sometida a la aprobación de la SFC</w:t>
      </w:r>
      <w:r w:rsidRPr="002A1DA6">
        <w:rPr>
          <w:rFonts w:cs="Arial"/>
          <w:b/>
          <w:sz w:val="16"/>
          <w:szCs w:val="16"/>
        </w:rPr>
        <w:t>.</w:t>
      </w:r>
    </w:p>
    <w:p w:rsidR="00AF5809" w:rsidRPr="002A1DA6" w:rsidRDefault="00AF5809" w:rsidP="008C02D3">
      <w:pPr>
        <w:rPr>
          <w:rFonts w:cs="Arial"/>
          <w:sz w:val="16"/>
          <w:szCs w:val="16"/>
        </w:rPr>
      </w:pPr>
      <w:r w:rsidRPr="002A1DA6">
        <w:rPr>
          <w:rFonts w:cs="Arial"/>
          <w:sz w:val="16"/>
          <w:szCs w:val="16"/>
        </w:rPr>
        <w:t xml:space="preserve"> </w:t>
      </w:r>
    </w:p>
    <w:p w:rsidR="00AF5809" w:rsidRPr="002A1DA6" w:rsidRDefault="00AF5809" w:rsidP="008C02D3">
      <w:pPr>
        <w:rPr>
          <w:rFonts w:cs="Arial"/>
          <w:sz w:val="16"/>
          <w:szCs w:val="16"/>
        </w:rPr>
      </w:pPr>
      <w:r w:rsidRPr="002A1DA6">
        <w:rPr>
          <w:rFonts w:cs="Arial"/>
          <w:sz w:val="16"/>
          <w:szCs w:val="16"/>
        </w:rPr>
        <w:t>1.1.2. Régimen de aprobación individual</w:t>
      </w:r>
    </w:p>
    <w:p w:rsidR="00AF5809" w:rsidRPr="002A1DA6" w:rsidRDefault="00AF5809" w:rsidP="008C02D3">
      <w:pPr>
        <w:rPr>
          <w:rFonts w:cs="Arial"/>
          <w:b/>
          <w:sz w:val="16"/>
          <w:szCs w:val="16"/>
        </w:rPr>
      </w:pPr>
    </w:p>
    <w:p w:rsidR="00AF5809" w:rsidRPr="002A1DA6" w:rsidRDefault="00AF5809" w:rsidP="008C02D3">
      <w:pPr>
        <w:rPr>
          <w:rFonts w:cs="Arial"/>
          <w:sz w:val="16"/>
          <w:szCs w:val="16"/>
        </w:rPr>
      </w:pPr>
      <w:r w:rsidRPr="002A1DA6">
        <w:rPr>
          <w:rFonts w:cs="Arial"/>
          <w:sz w:val="16"/>
          <w:szCs w:val="16"/>
        </w:rPr>
        <w:t>Los reglamentos que no reúnan los requisitos mínimos enunciados en al subnumeral anterior deben obtener, de manera individual, la previa aprobación de la SFC.</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lastRenderedPageBreak/>
        <w:t>Así mismo, cuando el reglamento contenga previsiones adicionales o que no se ajusten en su contenido, total o parcialmente, a las señaladas en el subnumeral anterior, deben someterse a aprobación de la SFC pero únicamente con respecto a tales previsiones.</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Para estos efectos, las sociedades administradoras deben indicar en la solicitud respectiva las previsiones del reglamento materia de la aprobación correspondiente, acompañando copia íntegra del reglamento y copia del acta de la junta directiva o del órgano social competente en la cual conste su adopción.</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1.1.3. Información a la SFC</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Dentro de los 15 días hábiles siguientes a la fecha en que el fondo de cesantía vaya a entrar en operación, la sociedad administradora debe informar por escrito a la SFC acerca de la adopción del respectivo reglamento de administración, acompañando copia del mismo y del acta de la junta directiva, o del órgano social competente, en la cual conste su correspondiente aprobación.</w:t>
      </w:r>
    </w:p>
    <w:p w:rsidR="00AF5809" w:rsidRPr="002A1DA6" w:rsidRDefault="00AF5809" w:rsidP="008C02D3">
      <w:pPr>
        <w:suppressAutoHyphens/>
        <w:rPr>
          <w:rFonts w:cs="Arial"/>
          <w:sz w:val="16"/>
          <w:szCs w:val="16"/>
          <w:lang w:val="es-CO"/>
        </w:rPr>
      </w:pPr>
    </w:p>
    <w:p w:rsidR="00AF5809" w:rsidRPr="002A1DA6" w:rsidRDefault="00AF5809" w:rsidP="008C02D3">
      <w:pPr>
        <w:pStyle w:val="Ttulo2"/>
        <w:spacing w:before="0" w:after="0"/>
        <w:rPr>
          <w:rFonts w:cs="Arial"/>
          <w:sz w:val="16"/>
          <w:szCs w:val="16"/>
        </w:rPr>
      </w:pPr>
      <w:bookmarkStart w:id="2" w:name="_Toc264009214"/>
      <w:r w:rsidRPr="002A1DA6">
        <w:rPr>
          <w:rFonts w:cs="Arial"/>
          <w:sz w:val="16"/>
          <w:szCs w:val="16"/>
        </w:rPr>
        <w:t>1.2. Régimen de gastos admisibles para los portafolios de corto y largo plazo del fondo de cesantías</w:t>
      </w:r>
      <w:bookmarkEnd w:id="2"/>
    </w:p>
    <w:p w:rsidR="00AF5809" w:rsidRPr="002A1DA6" w:rsidRDefault="00AF5809" w:rsidP="008C02D3">
      <w:pPr>
        <w:suppressAutoHyphens/>
        <w:rPr>
          <w:rFonts w:cs="Arial"/>
          <w:sz w:val="16"/>
          <w:szCs w:val="16"/>
          <w:lang w:val="es-CO"/>
        </w:rPr>
      </w:pPr>
    </w:p>
    <w:p w:rsidR="00AF5809" w:rsidRPr="002A1DA6" w:rsidRDefault="00AF5809" w:rsidP="008C02D3">
      <w:pPr>
        <w:suppressAutoHyphens/>
        <w:rPr>
          <w:rFonts w:cs="Arial"/>
          <w:sz w:val="16"/>
          <w:szCs w:val="16"/>
          <w:lang w:val="es-CO"/>
        </w:rPr>
      </w:pPr>
      <w:r w:rsidRPr="002A1DA6">
        <w:rPr>
          <w:rFonts w:cs="Arial"/>
          <w:sz w:val="16"/>
          <w:szCs w:val="16"/>
          <w:lang w:val="es-CO"/>
        </w:rPr>
        <w:t>Con cargo a cada uno de los portafolios del fondo de cesantía se pueden sufragar exclusivamente los siguientes gastos, de lo cual debe quedar expresa constancia en su reglamento de administración:</w:t>
      </w:r>
    </w:p>
    <w:p w:rsidR="00AF5809" w:rsidRPr="002A1DA6" w:rsidRDefault="00AF5809" w:rsidP="008C02D3">
      <w:pPr>
        <w:suppressAutoHyphens/>
        <w:rPr>
          <w:rFonts w:cs="Arial"/>
          <w:sz w:val="16"/>
          <w:szCs w:val="16"/>
          <w:lang w:val="es-CO"/>
        </w:rPr>
      </w:pPr>
    </w:p>
    <w:p w:rsidR="00AF5809" w:rsidRPr="002A1DA6" w:rsidRDefault="00AF5809" w:rsidP="008C02D3">
      <w:pPr>
        <w:suppressAutoHyphens/>
        <w:rPr>
          <w:rFonts w:cs="Arial"/>
          <w:sz w:val="16"/>
          <w:szCs w:val="16"/>
          <w:lang w:val="es-CO"/>
        </w:rPr>
      </w:pPr>
      <w:r w:rsidRPr="002A1DA6">
        <w:rPr>
          <w:rFonts w:cs="Arial"/>
          <w:sz w:val="16"/>
          <w:szCs w:val="16"/>
          <w:lang w:val="es-CO"/>
        </w:rPr>
        <w:t>1.2.1. Los honorarios y gastos en que haya de incurrirse para la defensa de los intereses de los portafolios, cuando las circunstancias así lo exijan.</w:t>
      </w:r>
    </w:p>
    <w:p w:rsidR="00AF5809" w:rsidRPr="002A1DA6" w:rsidRDefault="00AF5809" w:rsidP="008C02D3">
      <w:pPr>
        <w:suppressAutoHyphens/>
        <w:rPr>
          <w:rFonts w:cs="Arial"/>
          <w:sz w:val="16"/>
          <w:szCs w:val="16"/>
          <w:lang w:val="es-CO"/>
        </w:rPr>
      </w:pPr>
    </w:p>
    <w:p w:rsidR="00AF5809" w:rsidRPr="002A1DA6" w:rsidRDefault="00AF5809" w:rsidP="008C02D3">
      <w:pPr>
        <w:tabs>
          <w:tab w:val="left" w:pos="8505"/>
        </w:tabs>
        <w:ind w:right="51"/>
        <w:rPr>
          <w:rFonts w:cs="Arial"/>
          <w:sz w:val="16"/>
          <w:szCs w:val="16"/>
        </w:rPr>
      </w:pPr>
      <w:r w:rsidRPr="002A1DA6">
        <w:rPr>
          <w:rFonts w:cs="Arial"/>
          <w:sz w:val="16"/>
          <w:szCs w:val="16"/>
          <w:lang w:val="es-ES"/>
        </w:rPr>
        <w:t>1.2.2. Los correspondientes al pago de comisiones por la utilización de comisionistas de bolsa y corredores de valores especializados en TES (CVTES),</w:t>
      </w:r>
      <w:r w:rsidRPr="002A1DA6">
        <w:rPr>
          <w:rFonts w:cs="Arial"/>
          <w:sz w:val="16"/>
          <w:szCs w:val="16"/>
        </w:rPr>
        <w:t xml:space="preserve"> así como los gastos en que incurran en la negociación de las inversiones a través de sistemas de negociación de valores aprobados por la SFC o en el mercado mostrador registradas en un sistema de registro de operaciones sobre valores debidamente autorizado por la SFC, incluidos los correspondientes al acceso a tales sistemas.</w:t>
      </w:r>
    </w:p>
    <w:p w:rsidR="00AF5809" w:rsidRPr="002A1DA6" w:rsidRDefault="00AF5809" w:rsidP="008C02D3">
      <w:pPr>
        <w:suppressAutoHyphens/>
        <w:rPr>
          <w:rFonts w:cs="Arial"/>
          <w:sz w:val="16"/>
          <w:szCs w:val="16"/>
          <w:lang w:val="es-ES"/>
        </w:rPr>
      </w:pPr>
    </w:p>
    <w:p w:rsidR="00AF5809" w:rsidRPr="002A1DA6" w:rsidRDefault="00AF5809" w:rsidP="008C02D3">
      <w:pPr>
        <w:suppressAutoHyphens/>
        <w:rPr>
          <w:rFonts w:cs="Arial"/>
          <w:sz w:val="16"/>
          <w:szCs w:val="16"/>
          <w:lang w:val="es-CO"/>
        </w:rPr>
      </w:pPr>
      <w:r w:rsidRPr="002A1DA6">
        <w:rPr>
          <w:rFonts w:cs="Arial"/>
          <w:sz w:val="16"/>
          <w:szCs w:val="16"/>
          <w:lang w:val="es-CO"/>
        </w:rPr>
        <w:t>1.2.3. Los intereses y demás rendimientos financieros que deban cancelarse por razón de operaciones de reporto o repo activas/pasivas y operaciones simultáneas activas/pasivas, siempre que estén autorizadas.</w:t>
      </w:r>
    </w:p>
    <w:p w:rsidR="00AF5809" w:rsidRPr="002A1DA6" w:rsidRDefault="00AF5809" w:rsidP="008C02D3">
      <w:pPr>
        <w:suppressAutoHyphens/>
        <w:rPr>
          <w:rFonts w:cs="Arial"/>
          <w:sz w:val="16"/>
          <w:szCs w:val="16"/>
          <w:lang w:val="es-CO"/>
        </w:rPr>
      </w:pPr>
    </w:p>
    <w:p w:rsidR="00AF5809" w:rsidRPr="002A1DA6" w:rsidRDefault="00AF5809" w:rsidP="008C02D3">
      <w:pPr>
        <w:suppressAutoHyphens/>
        <w:rPr>
          <w:rFonts w:cs="Arial"/>
          <w:sz w:val="16"/>
          <w:szCs w:val="16"/>
          <w:lang w:val="es-CO"/>
        </w:rPr>
      </w:pPr>
      <w:r w:rsidRPr="002A1DA6">
        <w:rPr>
          <w:rFonts w:cs="Arial"/>
          <w:sz w:val="16"/>
          <w:szCs w:val="16"/>
          <w:lang w:val="es-CO"/>
        </w:rPr>
        <w:t>1.2.4. La pérdida en venta de inversiones, la pérdida en venta de bienes recibidos en pago y los demás gastos de índole similar que autorice con carácter general esta Superintendencia, y</w:t>
      </w:r>
    </w:p>
    <w:p w:rsidR="00AF5809" w:rsidRPr="002A1DA6" w:rsidRDefault="00AF5809" w:rsidP="008C02D3">
      <w:pPr>
        <w:suppressAutoHyphens/>
        <w:rPr>
          <w:rFonts w:cs="Arial"/>
          <w:sz w:val="16"/>
          <w:szCs w:val="16"/>
          <w:lang w:val="es-CO"/>
        </w:rPr>
      </w:pPr>
    </w:p>
    <w:p w:rsidR="00AF5809" w:rsidRPr="002A1DA6" w:rsidRDefault="00AF5809" w:rsidP="008C02D3">
      <w:pPr>
        <w:suppressAutoHyphens/>
        <w:rPr>
          <w:rFonts w:cs="Arial"/>
          <w:sz w:val="16"/>
          <w:szCs w:val="16"/>
          <w:lang w:val="es-CO"/>
        </w:rPr>
      </w:pPr>
      <w:r w:rsidRPr="002A1DA6">
        <w:rPr>
          <w:rFonts w:cs="Arial"/>
          <w:sz w:val="16"/>
          <w:szCs w:val="16"/>
          <w:lang w:val="es-CO"/>
        </w:rPr>
        <w:t xml:space="preserve">1.2.5.  La comisión de administración o manejo, en favor de la sociedad administradora, en la forma establecida por la SFC, que se cause, siempre y cuando se supere la rentabilidad mínima a que se refieren las disposiciones legales. </w:t>
      </w:r>
    </w:p>
    <w:p w:rsidR="00AF5809" w:rsidRPr="002A1DA6" w:rsidRDefault="00AF5809" w:rsidP="008C02D3">
      <w:pPr>
        <w:suppressAutoHyphens/>
        <w:rPr>
          <w:rFonts w:cs="Arial"/>
          <w:sz w:val="16"/>
          <w:szCs w:val="16"/>
          <w:lang w:val="es-CO"/>
        </w:rPr>
      </w:pPr>
    </w:p>
    <w:p w:rsidR="00AF5809" w:rsidRPr="002A1DA6" w:rsidRDefault="00AF5809" w:rsidP="008C02D3">
      <w:pPr>
        <w:suppressAutoHyphens/>
        <w:rPr>
          <w:rFonts w:cs="Arial"/>
          <w:sz w:val="16"/>
          <w:szCs w:val="16"/>
          <w:lang w:val="es-CO"/>
        </w:rPr>
      </w:pPr>
      <w:r w:rsidRPr="002A1DA6">
        <w:rPr>
          <w:rFonts w:cs="Arial"/>
          <w:sz w:val="16"/>
          <w:szCs w:val="16"/>
          <w:lang w:val="es-CO"/>
        </w:rPr>
        <w:t>1.2.6. Los gastos en que haya de incurrirse para la constitución de las garantías que deban otorgarse para hacer posible la participación de la administradora con recursos de los portafolios</w:t>
      </w:r>
      <w:r w:rsidRPr="002A1DA6">
        <w:rPr>
          <w:rFonts w:cs="Arial"/>
          <w:b/>
          <w:sz w:val="16"/>
          <w:szCs w:val="16"/>
          <w:lang w:val="es-CO"/>
        </w:rPr>
        <w:t xml:space="preserve"> </w:t>
      </w:r>
      <w:r w:rsidRPr="002A1DA6">
        <w:rPr>
          <w:rFonts w:cs="Arial"/>
          <w:sz w:val="16"/>
          <w:szCs w:val="16"/>
          <w:lang w:val="es-CO"/>
        </w:rPr>
        <w:t>del fondo en los procesos de privatización a que se refiere la Ley 226 de 1995.</w:t>
      </w:r>
    </w:p>
    <w:p w:rsidR="00AF5809" w:rsidRPr="002A1DA6" w:rsidRDefault="00AF5809" w:rsidP="008C02D3">
      <w:pPr>
        <w:suppressAutoHyphens/>
        <w:rPr>
          <w:rFonts w:cs="Arial"/>
          <w:sz w:val="16"/>
          <w:szCs w:val="16"/>
          <w:lang w:val="es-CO"/>
        </w:rPr>
      </w:pPr>
    </w:p>
    <w:p w:rsidR="00AF5809" w:rsidRPr="002A1DA6" w:rsidRDefault="00AF5809" w:rsidP="008C02D3">
      <w:pPr>
        <w:suppressAutoHyphens/>
        <w:rPr>
          <w:rFonts w:cs="Arial"/>
          <w:sz w:val="16"/>
          <w:szCs w:val="16"/>
          <w:lang w:val="es-CO"/>
        </w:rPr>
      </w:pPr>
      <w:r w:rsidRPr="002A1DA6">
        <w:rPr>
          <w:rFonts w:cs="Arial"/>
          <w:sz w:val="16"/>
          <w:szCs w:val="16"/>
          <w:lang w:val="es-CO"/>
        </w:rPr>
        <w:t>1.2.7. Los gastos en que haya de incurrirse en la realización de operaciones a través de las cámaras de riesgo central de contraparte.</w:t>
      </w:r>
    </w:p>
    <w:p w:rsidR="00AF5809" w:rsidRPr="002A1DA6" w:rsidRDefault="00AF5809" w:rsidP="008C02D3">
      <w:pPr>
        <w:rPr>
          <w:rFonts w:cs="Arial"/>
          <w:sz w:val="16"/>
          <w:szCs w:val="16"/>
          <w:lang w:val="es-CO"/>
        </w:rPr>
      </w:pPr>
    </w:p>
    <w:p w:rsidR="00AF5809" w:rsidRPr="002A1DA6" w:rsidRDefault="00AF5809" w:rsidP="008C02D3">
      <w:pPr>
        <w:suppressAutoHyphens/>
        <w:rPr>
          <w:rFonts w:cs="Arial"/>
          <w:sz w:val="16"/>
          <w:szCs w:val="16"/>
          <w:lang w:val="es-CO"/>
        </w:rPr>
      </w:pPr>
      <w:r w:rsidRPr="002A1DA6">
        <w:rPr>
          <w:rFonts w:cs="Arial"/>
          <w:sz w:val="16"/>
          <w:szCs w:val="16"/>
          <w:lang w:val="es-CO"/>
        </w:rPr>
        <w:t>1.2.8. Los gastos de compensación y liquidación provenientes de la negociación de inversiones.</w:t>
      </w:r>
    </w:p>
    <w:p w:rsidR="00AF5809" w:rsidRPr="002A1DA6" w:rsidRDefault="00AF5809" w:rsidP="008C02D3">
      <w:pPr>
        <w:suppressAutoHyphens/>
        <w:rPr>
          <w:rFonts w:cs="Arial"/>
          <w:sz w:val="16"/>
          <w:szCs w:val="16"/>
          <w:lang w:val="es-CO"/>
        </w:rPr>
      </w:pPr>
    </w:p>
    <w:p w:rsidR="00AF5809" w:rsidRPr="002A1DA6" w:rsidRDefault="00AF5809" w:rsidP="008C02D3">
      <w:pPr>
        <w:suppressAutoHyphens/>
        <w:rPr>
          <w:rFonts w:cs="Arial"/>
          <w:sz w:val="16"/>
          <w:szCs w:val="16"/>
          <w:lang w:val="es-CO"/>
        </w:rPr>
      </w:pPr>
      <w:r w:rsidRPr="002A1DA6">
        <w:rPr>
          <w:rFonts w:cs="Arial"/>
          <w:sz w:val="16"/>
          <w:szCs w:val="16"/>
          <w:lang w:val="es-CO"/>
        </w:rPr>
        <w:t>1.2.9. Los gastos derivados del registro de valores y los del depósito centralizado de valores que se generen en la realización de operaciones repo, transferencia temporal de valores (TTVs) y simultáneas.</w:t>
      </w:r>
    </w:p>
    <w:p w:rsidR="00AF5809" w:rsidRPr="002A1DA6" w:rsidRDefault="00AF5809" w:rsidP="008C02D3">
      <w:pPr>
        <w:suppressAutoHyphens/>
        <w:rPr>
          <w:rFonts w:cs="Arial"/>
          <w:sz w:val="16"/>
          <w:szCs w:val="16"/>
          <w:lang w:val="es-CO"/>
        </w:rPr>
      </w:pPr>
    </w:p>
    <w:p w:rsidR="00AF5809" w:rsidRPr="002A1DA6" w:rsidRDefault="00AF5809" w:rsidP="008C02D3">
      <w:pPr>
        <w:pStyle w:val="Ttulo2"/>
        <w:spacing w:before="0" w:after="0"/>
        <w:rPr>
          <w:rFonts w:cs="Arial"/>
          <w:sz w:val="16"/>
          <w:szCs w:val="16"/>
        </w:rPr>
      </w:pPr>
      <w:bookmarkStart w:id="3" w:name="_Toc264009215"/>
      <w:r w:rsidRPr="002A1DA6">
        <w:rPr>
          <w:rFonts w:cs="Arial"/>
          <w:sz w:val="16"/>
          <w:szCs w:val="16"/>
        </w:rPr>
        <w:t>1.3. Comisiones</w:t>
      </w:r>
      <w:bookmarkEnd w:id="3"/>
    </w:p>
    <w:p w:rsidR="00AF5809" w:rsidRPr="002A1DA6" w:rsidRDefault="00AF5809" w:rsidP="008C02D3">
      <w:pPr>
        <w:rPr>
          <w:rFonts w:cs="Arial"/>
          <w:b/>
          <w:sz w:val="16"/>
          <w:szCs w:val="16"/>
        </w:rPr>
      </w:pPr>
    </w:p>
    <w:p w:rsidR="00AF5809" w:rsidRPr="002A1DA6" w:rsidRDefault="00AF5809" w:rsidP="008C02D3">
      <w:pPr>
        <w:rPr>
          <w:rFonts w:cs="Arial"/>
          <w:sz w:val="16"/>
          <w:szCs w:val="16"/>
        </w:rPr>
      </w:pPr>
      <w:r w:rsidRPr="002A1DA6">
        <w:rPr>
          <w:rFonts w:cs="Arial"/>
          <w:sz w:val="16"/>
          <w:szCs w:val="16"/>
        </w:rPr>
        <w:t>Las AFPC pueden cobrar por la administración de los portafolios de inversión de los fondos de cesantía a que se refiere el art. 2.6.7.1.1. del Decreto 2555 de 2010, las siguientes comisiones:</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1.3.1. Sobre el valor del portafolio de inversión de corto plazo, una comisión de hasta el 1% anual, liquidada en forma diaria.</w:t>
      </w:r>
    </w:p>
    <w:p w:rsidR="00AF5809" w:rsidRPr="002A1DA6" w:rsidRDefault="00AF5809" w:rsidP="008C02D3">
      <w:pPr>
        <w:rPr>
          <w:rFonts w:cs="Arial"/>
          <w:sz w:val="16"/>
          <w:szCs w:val="16"/>
        </w:rPr>
      </w:pPr>
      <w:r w:rsidRPr="002A1DA6">
        <w:rPr>
          <w:rFonts w:cs="Arial"/>
          <w:sz w:val="16"/>
          <w:szCs w:val="16"/>
        </w:rPr>
        <w:t>1.3.2. Sobre el valor del portafolio de inversión de largo plazo, una comisión de hasta el 3% anual, liquidada en forma diaria.</w:t>
      </w:r>
    </w:p>
    <w:p w:rsidR="00AF5809" w:rsidRPr="002A1DA6" w:rsidRDefault="00AF5809" w:rsidP="008C02D3">
      <w:pPr>
        <w:rPr>
          <w:rFonts w:cs="Arial"/>
          <w:sz w:val="16"/>
          <w:szCs w:val="16"/>
        </w:rPr>
      </w:pPr>
      <w:r w:rsidRPr="002A1DA6">
        <w:rPr>
          <w:rFonts w:cs="Arial"/>
          <w:sz w:val="16"/>
          <w:szCs w:val="16"/>
        </w:rPr>
        <w:t xml:space="preserve">1.3.3. Sobre el valor de cada retiro anticipado, una comisión de hasta el 0.8%. </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Las comisiones deben cobrarse con arreglo a lo que se establezca en el reglamento que para el funcionamiento del fondo de cesantías adopte la administradora.</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En concordancia con lo dispuesto en el art. 101 de la Ley 50 de 1990, los valores anteriores se causan a favor de la administradora solamente cuando se acredite que ésta ha cumplido con la obligación de obtener la rentabilidad mínima de que trata el art. 101 de la Ley 100 de 1993, modificado por el art. 52 de la Ley 1328 de 2009.</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Para todos los efectos a que haya lugar, se entiende por retiro anticipado el que efectúa el afiliado para cualquiera de los fines contemplados en los numerales 2 y 3 del art. 102 de la Ley 50 de 1990.</w:t>
      </w:r>
    </w:p>
    <w:p w:rsidR="00AF5809" w:rsidRPr="002A1DA6" w:rsidRDefault="00AF5809" w:rsidP="008C02D3">
      <w:pPr>
        <w:rPr>
          <w:rFonts w:cs="Arial"/>
          <w:b/>
          <w:sz w:val="16"/>
          <w:szCs w:val="16"/>
        </w:rPr>
      </w:pPr>
    </w:p>
    <w:p w:rsidR="00AF5809" w:rsidRPr="002A1DA6" w:rsidRDefault="00AF5809" w:rsidP="008C02D3">
      <w:pPr>
        <w:pStyle w:val="Ttulo2"/>
        <w:spacing w:before="0" w:after="0"/>
        <w:rPr>
          <w:rFonts w:cs="Arial"/>
          <w:sz w:val="16"/>
          <w:szCs w:val="16"/>
        </w:rPr>
      </w:pPr>
      <w:bookmarkStart w:id="4" w:name="_Toc264009216"/>
      <w:r w:rsidRPr="002A1DA6">
        <w:rPr>
          <w:rFonts w:cs="Arial"/>
          <w:sz w:val="16"/>
          <w:szCs w:val="16"/>
        </w:rPr>
        <w:t>1.4. Auxilio de cesantía</w:t>
      </w:r>
      <w:bookmarkEnd w:id="4"/>
    </w:p>
    <w:p w:rsidR="00AF5809" w:rsidRPr="002A1DA6" w:rsidRDefault="00AF5809" w:rsidP="008C02D3">
      <w:pPr>
        <w:rPr>
          <w:rFonts w:cs="Arial"/>
          <w:b/>
          <w:sz w:val="16"/>
          <w:szCs w:val="16"/>
        </w:rPr>
      </w:pPr>
    </w:p>
    <w:p w:rsidR="00AF5809" w:rsidRPr="002A1DA6" w:rsidRDefault="00AF5809" w:rsidP="008C02D3">
      <w:pPr>
        <w:rPr>
          <w:rFonts w:cs="Arial"/>
          <w:sz w:val="16"/>
          <w:szCs w:val="16"/>
        </w:rPr>
      </w:pPr>
      <w:r w:rsidRPr="002A1DA6">
        <w:rPr>
          <w:rFonts w:cs="Arial"/>
          <w:sz w:val="16"/>
          <w:szCs w:val="16"/>
        </w:rPr>
        <w:t xml:space="preserve">1.4.1. Consignación del auxilio de cesantías </w:t>
      </w:r>
    </w:p>
    <w:p w:rsidR="00AF5809" w:rsidRPr="002A1DA6" w:rsidRDefault="00AF5809" w:rsidP="008C02D3">
      <w:pPr>
        <w:rPr>
          <w:rFonts w:cs="Arial"/>
          <w:b/>
          <w:sz w:val="16"/>
          <w:szCs w:val="16"/>
        </w:rPr>
      </w:pPr>
    </w:p>
    <w:p w:rsidR="00AF5809" w:rsidRPr="002A1DA6" w:rsidRDefault="00AF5809" w:rsidP="008C02D3">
      <w:pPr>
        <w:rPr>
          <w:rFonts w:cs="Arial"/>
          <w:sz w:val="16"/>
          <w:szCs w:val="16"/>
        </w:rPr>
      </w:pPr>
      <w:r w:rsidRPr="002A1DA6">
        <w:rPr>
          <w:rFonts w:cs="Arial"/>
          <w:sz w:val="16"/>
          <w:szCs w:val="16"/>
        </w:rPr>
        <w:t>Con el objeto de recibir de los empleadores la consignación de los dineros correspondientes a la liquidación del auxilio de cesantía de sus trabajadores, las administradoras están en obligación de exigir a los empleadores que tal consignación la efectúen diligenciando un formato de consignación que debe ser suministrado por ellas, el cual debe contener, al menos, la siguiente información:</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1.4.1.1. Ciudad, fecha y oficina en la cual se realiza la consignación.</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1.4.1.2. Nombre o razón social de la empresa que efectúa la consignación y su NIT o el nombre del empleador y su documento de identificación, si es persona natural.</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1.4.1.3. La dirección y el teléfono del empleador.</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1.4.1.4. El número de trabajadores respecto de los cuales se realiza la consignación de cesantías.</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1.4.1.5. El valor total de la consignación, especificando el valor en cheques y en efectivo. De los cheques, se debe indicar el código del banco y el número del cheque.</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1.4.1.6. Los formatos de consignación deben ir acompañados de una relación de los trabajadores cuyo auxilio de cesantía se consigna, en la que se indique respecto de cada trabajador, como mínimo, los siguientes datos:</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1.4.1.6.1. El nombre y documento de identidad del trabajador</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1.4.1.6.2. La dirección de la residencia y el número del teléfono</w:t>
      </w:r>
    </w:p>
    <w:p w:rsidR="00AF5809" w:rsidRPr="002A1DA6" w:rsidRDefault="00AF5809" w:rsidP="008C02D3">
      <w:pPr>
        <w:rPr>
          <w:rFonts w:cs="Arial"/>
          <w:sz w:val="16"/>
          <w:szCs w:val="16"/>
        </w:rPr>
      </w:pPr>
    </w:p>
    <w:p w:rsidR="00AF5809" w:rsidRPr="002A1DA6" w:rsidRDefault="005E4F80" w:rsidP="008C02D3">
      <w:pPr>
        <w:rPr>
          <w:rFonts w:cs="Arial"/>
          <w:sz w:val="16"/>
          <w:szCs w:val="16"/>
        </w:rPr>
      </w:pPr>
      <w:r>
        <w:rPr>
          <w:rFonts w:cs="Arial"/>
          <w:sz w:val="16"/>
          <w:szCs w:val="16"/>
        </w:rPr>
        <w:t>1.4.1.6.3.</w:t>
      </w:r>
      <w:r w:rsidR="00AF5809" w:rsidRPr="002A1DA6">
        <w:rPr>
          <w:rFonts w:cs="Arial"/>
          <w:sz w:val="16"/>
          <w:szCs w:val="16"/>
        </w:rPr>
        <w:t xml:space="preserve"> El nombre del empleador, la dirección y el teléfono</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1.4.1.7. El valor del auxilio de cesantía que se consigna, con su liquidación detallada, es decir fecha de ingreso del trabajador (en formato aaaa/mm/dd), período de liquidación (en formato aaaa), número de días base de liquidación y salario base de liquidación.</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1.4.1.8. El valor de la sanción por mora en la consignación de las cesantías.</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Adicionalmente, en las proformas de consignación debe indicarse si el trabajador cuyo auxilio de cesantía se consigna se encuentra cobijado por el régimen especial a que hace referencia el numeral 2 del art. 98 de la Ley 50 de 1990.</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Las AFPC quedan autorizadas para recibir la anterior información por cualquier medio magnético, sin perjuicio de cumplir con la obligación que les asiste de exigir de los respectivos empleadores la remisión inmediata de la relación de trabajadores cuyo auxilio de cesantía se consigna.</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El valor total de la consignación que aparezca en el formato de consignación debe coincidir con el que de como resultado de la sumatoria de todos los valores expresados en la relación de los trabajadores, a que se refiere el anterior subnumeral 1.4.1.6.</w:t>
      </w:r>
    </w:p>
    <w:p w:rsidR="00AF5809" w:rsidRPr="002A1DA6" w:rsidRDefault="00AF5809" w:rsidP="008C02D3">
      <w:pPr>
        <w:rPr>
          <w:rFonts w:cs="Arial"/>
          <w:sz w:val="16"/>
          <w:szCs w:val="16"/>
        </w:rPr>
      </w:pPr>
      <w:bookmarkStart w:id="5" w:name="_GoBack"/>
      <w:bookmarkEnd w:id="5"/>
    </w:p>
    <w:p w:rsidR="00AF5809" w:rsidRPr="002A1DA6" w:rsidRDefault="00AF5809" w:rsidP="008C02D3">
      <w:pPr>
        <w:rPr>
          <w:rFonts w:cs="Arial"/>
          <w:sz w:val="16"/>
          <w:szCs w:val="16"/>
        </w:rPr>
      </w:pPr>
      <w:r w:rsidRPr="002A1DA6">
        <w:rPr>
          <w:rFonts w:cs="Arial"/>
          <w:sz w:val="16"/>
          <w:szCs w:val="16"/>
        </w:rPr>
        <w:t>1.4.2. Plazo para consignación</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El numeral 3 del art. 99 de la Ley 50 de 1990, en concordancia con el numeral 4 del art. 164 del EOSF, establece como plazo para realizar, por parte del empleador, la consignación del valor liquidado anualmente por concepto de auxilio de cesantía hasta “antes del 15 de febrero del año siguiente”. Por lo tanto, las consignaciones</w:t>
      </w:r>
      <w:r w:rsidR="003F7DE2">
        <w:rPr>
          <w:rFonts w:cs="Arial"/>
          <w:sz w:val="16"/>
          <w:szCs w:val="16"/>
        </w:rPr>
        <w:t xml:space="preserve"> que se realicen hasta la media</w:t>
      </w:r>
      <w:r w:rsidRPr="002A1DA6">
        <w:rPr>
          <w:rFonts w:cs="Arial"/>
          <w:sz w:val="16"/>
          <w:szCs w:val="16"/>
        </w:rPr>
        <w:t>noche del día 14 de febrero deben entenderse efectuadas dentro de dicho plazo legal. En el evento en que el día 14 de febrero corresponda a un día no hábil, el p</w:t>
      </w:r>
      <w:r w:rsidR="003F7DE2">
        <w:rPr>
          <w:rFonts w:cs="Arial"/>
          <w:sz w:val="16"/>
          <w:szCs w:val="16"/>
        </w:rPr>
        <w:t>lazo se extiende hasta la media</w:t>
      </w:r>
      <w:r w:rsidRPr="002A1DA6">
        <w:rPr>
          <w:rFonts w:cs="Arial"/>
          <w:sz w:val="16"/>
          <w:szCs w:val="16"/>
        </w:rPr>
        <w:t>noche del día hábil siguiente.</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 xml:space="preserve">1.4.3. Afiliación de personas independientes </w:t>
      </w:r>
    </w:p>
    <w:p w:rsidR="00AF5809" w:rsidRPr="002A1DA6" w:rsidRDefault="00AF5809" w:rsidP="008C02D3">
      <w:pPr>
        <w:rPr>
          <w:rFonts w:cs="Arial"/>
          <w:b/>
          <w:sz w:val="16"/>
          <w:szCs w:val="16"/>
        </w:rPr>
      </w:pPr>
    </w:p>
    <w:p w:rsidR="00AF5809" w:rsidRPr="002A1DA6" w:rsidRDefault="00AF5809" w:rsidP="008C02D3">
      <w:pPr>
        <w:rPr>
          <w:rFonts w:cs="Arial"/>
          <w:sz w:val="16"/>
          <w:szCs w:val="16"/>
        </w:rPr>
      </w:pPr>
      <w:r w:rsidRPr="002A1DA6">
        <w:rPr>
          <w:rFonts w:cs="Arial"/>
          <w:sz w:val="16"/>
          <w:szCs w:val="16"/>
        </w:rPr>
        <w:t xml:space="preserve">Para la afiliación al fondo de cesantías de personas independientes, las administradoras </w:t>
      </w:r>
      <w:r w:rsidR="00A07791" w:rsidRPr="002A1DA6">
        <w:rPr>
          <w:rFonts w:cs="Arial"/>
          <w:sz w:val="16"/>
          <w:szCs w:val="16"/>
        </w:rPr>
        <w:t>deben hacer</w:t>
      </w:r>
      <w:r w:rsidRPr="002A1DA6">
        <w:rPr>
          <w:rFonts w:cs="Arial"/>
          <w:sz w:val="16"/>
          <w:szCs w:val="16"/>
        </w:rPr>
        <w:t xml:space="preserve"> diligenciar, previamente al recibo de sus cotizaciones, un formato de afiliación en el cual se exprese:</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1.4.3.1. Datos personales: Nombre completo, documento de identidad, dirección residencia, número de teléfono, y</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1.4.3.2. Datos sobre su actividad económica u ocupación: descripción de la actividad o del oficio u ocupación que realiza personal y directamente. Si es empleador y labora en su propia empresa, se debe indicar el nombre o razón social, el NIT, la dirección y el teléfono.</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Este formato debe estar firmado por la persona que se afilia, quien lo debe presentar acompañado de una copia de su declaración de renta del año inmediatamente anterior, debidamente presentada ante la Dirección Administrativa de Impuestos y Aduanas Nacionales -DIAN-, así como de fotocopia de su documento de identidad. En el evento en que el solicitante no adjunte la declaración de renta, por no estar obligado a ella de acuerdo con la ley tributaria, el monto total de sus cotizaciones voluntarias no puede ser superior, en ningún tiempo, a la cuantía que corresponda a la máxima de ingresos admisible para no estar obligado a presentar declaración de renta.</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 xml:space="preserve">1.4.4. Traslado a otra administradora </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La administradora que solicite el traslado de un afiliado debe diligenciar un formulario de traslado, suscrito por el afiliado, copia del cual debe remitir a la anterior administradora, junto con una fotocopia del documento de identidad de éste.</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La anterior administradora debe trasladar el valor de las unidades del afiliado a la nueva administradora, anexando la información correspondiente al respectivo traslado, para lo cual puede utilizar un formato en medio magnético.</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1.4.4.1. Si se trata del traslado de un afiliado, dicho formato contendrá, por lo menos lo siguiente:</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1.4.4.1.1. El nombre de la administradora que realiza el traslado.</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1.4.4.1.2. El nombre de la administradora que recibe los valores objeto del traslado.</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1.4.4.1.3. El valor trasladado en moneda legal colombiana, especificando la fecha de la liquidación del traslado, el número de unidades trasladadas por cada una de las subcuentas y el valor de las unidades a dicha fecha, así como la última fecha de selección o modificación de perfil de administración realizado por el afiliado.</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1.4.4.1.4. La información personal del afiliado: nombre, documento de identidad, dirección y teléfono.</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1.4.4.1.5. La información laboral del afiliado: nombre o razón social del empleador, nit o documento de identificación, dirección y teléfono.</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1.4.4.2. Si el traslado es de un afiliado independiente se puede utilizar otro formato que contenga, además de la información señalada en los subnumerales 1.4.4.1.1. a. 1.4.4.1.4., la siguiente:</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lastRenderedPageBreak/>
        <w:t>Los datos sobre su actividad económica u ocupación: descripción de su actividad o del oficio u ocupación que realiza personal y directamente, adjuntando la documentación requerida para la afiliación. Si es empleador y labora en su propia empresa, se debe indicar el nombre o razón social de ésta, el NIT, la dirección y el teléfono.</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La administradora que realice el traslado está en la obligación de comunicarle simultáneamente por escrito al afiliado la información relacionada con el traslado.</w:t>
      </w:r>
    </w:p>
    <w:p w:rsidR="00AF5809" w:rsidRPr="002A1DA6" w:rsidRDefault="00AF5809" w:rsidP="008C02D3">
      <w:pPr>
        <w:rPr>
          <w:rFonts w:cs="Arial"/>
          <w:sz w:val="16"/>
          <w:szCs w:val="16"/>
        </w:rPr>
      </w:pPr>
    </w:p>
    <w:p w:rsidR="00AF5809" w:rsidRPr="002A1DA6" w:rsidRDefault="00AF5809" w:rsidP="008C02D3">
      <w:pPr>
        <w:ind w:right="335"/>
        <w:rPr>
          <w:rFonts w:cs="Arial"/>
          <w:sz w:val="16"/>
          <w:szCs w:val="16"/>
        </w:rPr>
      </w:pPr>
      <w:r w:rsidRPr="002A1DA6">
        <w:rPr>
          <w:rFonts w:cs="Arial"/>
          <w:sz w:val="16"/>
          <w:szCs w:val="16"/>
        </w:rPr>
        <w:t xml:space="preserve">1.4.5. Remisión de extractos a los afiliados a los fondos de cesantías </w:t>
      </w:r>
    </w:p>
    <w:p w:rsidR="00AF5809" w:rsidRPr="002A1DA6" w:rsidRDefault="00AF5809" w:rsidP="008C02D3">
      <w:pPr>
        <w:ind w:right="335"/>
        <w:rPr>
          <w:rFonts w:cs="Arial"/>
          <w:b/>
          <w:sz w:val="16"/>
          <w:szCs w:val="16"/>
        </w:rPr>
      </w:pPr>
    </w:p>
    <w:p w:rsidR="00AF5809" w:rsidRPr="002A1DA6" w:rsidRDefault="00AF5809" w:rsidP="008C02D3">
      <w:pPr>
        <w:ind w:right="335"/>
        <w:rPr>
          <w:rFonts w:cs="Arial"/>
          <w:sz w:val="16"/>
          <w:szCs w:val="16"/>
        </w:rPr>
      </w:pPr>
      <w:r w:rsidRPr="002A1DA6">
        <w:rPr>
          <w:rFonts w:cs="Arial"/>
          <w:sz w:val="16"/>
          <w:szCs w:val="16"/>
        </w:rPr>
        <w:t>Las sociedades administradoras de fondos cesantías están en la obligación de remitir periódicamente a sus afiliados extractos de sus cuentas individuales, de acuerdo con las siguientes instrucciones:</w:t>
      </w:r>
    </w:p>
    <w:p w:rsidR="00AF5809" w:rsidRPr="002A1DA6" w:rsidRDefault="00AF5809" w:rsidP="008C02D3">
      <w:pPr>
        <w:ind w:right="335"/>
        <w:rPr>
          <w:rFonts w:cs="Arial"/>
          <w:b/>
          <w:sz w:val="16"/>
          <w:szCs w:val="16"/>
        </w:rPr>
      </w:pPr>
    </w:p>
    <w:p w:rsidR="00AF5809" w:rsidRPr="002A1DA6" w:rsidRDefault="00AF5809" w:rsidP="008C02D3">
      <w:pPr>
        <w:ind w:right="335"/>
        <w:rPr>
          <w:rFonts w:cs="Arial"/>
          <w:sz w:val="16"/>
          <w:szCs w:val="16"/>
        </w:rPr>
      </w:pPr>
      <w:r w:rsidRPr="002A1DA6">
        <w:rPr>
          <w:rFonts w:cs="Arial"/>
          <w:sz w:val="16"/>
          <w:szCs w:val="16"/>
        </w:rPr>
        <w:t>1.4.5.1. Periodicidad y plazo para el envío de extractos a los afiliados</w:t>
      </w:r>
    </w:p>
    <w:p w:rsidR="00AF5809" w:rsidRPr="002A1DA6" w:rsidRDefault="00AF5809" w:rsidP="008C02D3">
      <w:pPr>
        <w:ind w:right="335"/>
        <w:rPr>
          <w:rFonts w:cs="Arial"/>
          <w:b/>
          <w:sz w:val="16"/>
          <w:szCs w:val="16"/>
        </w:rPr>
      </w:pPr>
    </w:p>
    <w:p w:rsidR="00AF5809" w:rsidRPr="002A1DA6" w:rsidRDefault="00AF5809" w:rsidP="000D0DEF">
      <w:pPr>
        <w:ind w:right="51"/>
        <w:rPr>
          <w:rFonts w:cs="Arial"/>
          <w:sz w:val="16"/>
          <w:szCs w:val="16"/>
        </w:rPr>
      </w:pPr>
      <w:r w:rsidRPr="002A1DA6">
        <w:rPr>
          <w:rFonts w:cs="Arial"/>
          <w:sz w:val="16"/>
          <w:szCs w:val="16"/>
        </w:rPr>
        <w:t>Las sociedades administradoras deben remitir a sus afiliados, por lo menos semestralmente, los extractos de sus cuentas individuales.</w:t>
      </w:r>
    </w:p>
    <w:p w:rsidR="00AF5809" w:rsidRPr="002A1DA6" w:rsidRDefault="00AF5809" w:rsidP="008C02D3">
      <w:pPr>
        <w:ind w:right="335"/>
        <w:rPr>
          <w:rFonts w:cs="Arial"/>
          <w:sz w:val="16"/>
          <w:szCs w:val="16"/>
        </w:rPr>
      </w:pPr>
    </w:p>
    <w:p w:rsidR="00AF5809" w:rsidRPr="002A1DA6" w:rsidRDefault="00AF5809" w:rsidP="008C02D3">
      <w:pPr>
        <w:ind w:right="51"/>
        <w:rPr>
          <w:rFonts w:cs="Arial"/>
          <w:sz w:val="16"/>
          <w:szCs w:val="16"/>
        </w:rPr>
      </w:pPr>
      <w:r w:rsidRPr="002A1DA6">
        <w:rPr>
          <w:rFonts w:cs="Arial"/>
          <w:sz w:val="16"/>
          <w:szCs w:val="16"/>
        </w:rPr>
        <w:t>Como quiera que esta obligación involucra a todos los afiliados al fondo de cesantías, es deber de las sociedades administradoras enviar los extractos a que se refiere este subnumeral, a quienes en cualquier momento, durante el periodo del extracto, hayan tenido el carácter de afiliados.</w:t>
      </w:r>
    </w:p>
    <w:p w:rsidR="00AF5809" w:rsidRPr="002A1DA6" w:rsidRDefault="00AF5809" w:rsidP="008C02D3">
      <w:pPr>
        <w:ind w:right="335"/>
        <w:rPr>
          <w:rFonts w:cs="Arial"/>
          <w:sz w:val="16"/>
          <w:szCs w:val="16"/>
        </w:rPr>
      </w:pPr>
    </w:p>
    <w:p w:rsidR="00AF5809" w:rsidRPr="002A1DA6" w:rsidRDefault="00AF5809" w:rsidP="008C02D3">
      <w:pPr>
        <w:ind w:right="51"/>
        <w:rPr>
          <w:rFonts w:cs="Arial"/>
          <w:sz w:val="16"/>
          <w:szCs w:val="16"/>
        </w:rPr>
      </w:pPr>
      <w:r w:rsidRPr="002A1DA6">
        <w:rPr>
          <w:rFonts w:cs="Arial"/>
          <w:sz w:val="16"/>
          <w:szCs w:val="16"/>
        </w:rPr>
        <w:t>Los extractos deben remitirse dentro de los 15 días hábiles siguientes a la publicación por parte de la SFC de la rentabilidad mínima con corte a marzo 31 y septiembre 30. En aquellos eventos en que una sociedad administradora ofrezca a sus afiliados la remisión de extractos que correspondan a periodos inferiores a un semestre, deben dejar expresa constancia en el reglamento del fondo de la periodicidad y del plazo dentro del cual serán enviados.</w:t>
      </w:r>
    </w:p>
    <w:p w:rsidR="00AF5809" w:rsidRPr="002A1DA6" w:rsidRDefault="00AF5809" w:rsidP="008C02D3">
      <w:pPr>
        <w:ind w:right="51"/>
        <w:rPr>
          <w:rFonts w:cs="Arial"/>
          <w:sz w:val="16"/>
          <w:szCs w:val="16"/>
        </w:rPr>
      </w:pPr>
    </w:p>
    <w:p w:rsidR="00AF5809" w:rsidRPr="002A1DA6" w:rsidRDefault="00AF5809" w:rsidP="008C02D3">
      <w:pPr>
        <w:ind w:right="51"/>
        <w:rPr>
          <w:rFonts w:cs="Arial"/>
          <w:sz w:val="16"/>
          <w:szCs w:val="16"/>
        </w:rPr>
      </w:pPr>
      <w:r w:rsidRPr="002A1DA6">
        <w:rPr>
          <w:rFonts w:cs="Arial"/>
          <w:sz w:val="16"/>
          <w:szCs w:val="16"/>
        </w:rPr>
        <w:t xml:space="preserve">Con los extractos con corte al 30 de septiembre, se debe remitir la información completa sobre los derechos y obligaciones de los afiliados al fondo y los efectos que se derivan de la selección entre los portafolios de inversión de corto plazo y largo plazo de los aportes y/o recursos de los fondos de cesantías. </w:t>
      </w:r>
    </w:p>
    <w:p w:rsidR="00AF5809" w:rsidRPr="002A1DA6" w:rsidRDefault="00AF5809" w:rsidP="008C02D3">
      <w:pPr>
        <w:ind w:right="51"/>
        <w:rPr>
          <w:rFonts w:cs="Arial"/>
          <w:b/>
          <w:sz w:val="16"/>
          <w:szCs w:val="16"/>
        </w:rPr>
      </w:pPr>
    </w:p>
    <w:p w:rsidR="00AF5809" w:rsidRPr="002A1DA6" w:rsidRDefault="00AF5809" w:rsidP="008C02D3">
      <w:pPr>
        <w:ind w:right="51"/>
        <w:rPr>
          <w:rFonts w:cs="Arial"/>
          <w:sz w:val="16"/>
          <w:szCs w:val="16"/>
        </w:rPr>
      </w:pPr>
      <w:r w:rsidRPr="002A1DA6">
        <w:rPr>
          <w:rFonts w:cs="Arial"/>
          <w:sz w:val="16"/>
          <w:szCs w:val="16"/>
        </w:rPr>
        <w:t>1.4.5.2. Contenido mínimo de los extractos y uso obligatorio del formato único</w:t>
      </w:r>
    </w:p>
    <w:p w:rsidR="00AF5809" w:rsidRPr="002A1DA6" w:rsidRDefault="00AF5809" w:rsidP="008C02D3">
      <w:pPr>
        <w:ind w:right="51"/>
        <w:rPr>
          <w:rFonts w:cs="Arial"/>
          <w:b/>
          <w:sz w:val="16"/>
          <w:szCs w:val="16"/>
        </w:rPr>
      </w:pPr>
    </w:p>
    <w:p w:rsidR="00AF5809" w:rsidRPr="002A1DA6" w:rsidRDefault="00AF5809" w:rsidP="008C02D3">
      <w:pPr>
        <w:ind w:right="51"/>
        <w:rPr>
          <w:rFonts w:cs="Arial"/>
          <w:sz w:val="16"/>
          <w:szCs w:val="16"/>
        </w:rPr>
      </w:pPr>
      <w:r w:rsidRPr="002A1DA6">
        <w:rPr>
          <w:rFonts w:cs="Arial"/>
          <w:sz w:val="16"/>
          <w:szCs w:val="16"/>
        </w:rPr>
        <w:t xml:space="preserve">Los extractos deben informar como mínimo lo siguiente, de conformidad con el formato único establecido por la SFC en el formato  B.6000-13, </w:t>
      </w:r>
      <w:r w:rsidR="007645E5" w:rsidRPr="002A1DA6">
        <w:rPr>
          <w:rFonts w:cs="Arial"/>
          <w:sz w:val="16"/>
          <w:szCs w:val="16"/>
        </w:rPr>
        <w:t>disponible en el A</w:t>
      </w:r>
      <w:r w:rsidRPr="002A1DA6">
        <w:rPr>
          <w:rFonts w:cs="Arial"/>
          <w:sz w:val="16"/>
          <w:szCs w:val="16"/>
        </w:rPr>
        <w:t>nexo</w:t>
      </w:r>
      <w:r w:rsidR="007645E5" w:rsidRPr="002A1DA6">
        <w:rPr>
          <w:rFonts w:cs="Arial"/>
          <w:sz w:val="16"/>
          <w:szCs w:val="16"/>
        </w:rPr>
        <w:t xml:space="preserve"> 1</w:t>
      </w:r>
      <w:r w:rsidRPr="002A1DA6">
        <w:rPr>
          <w:rFonts w:cs="Arial"/>
          <w:sz w:val="16"/>
          <w:szCs w:val="16"/>
        </w:rPr>
        <w:t xml:space="preserve"> </w:t>
      </w:r>
      <w:r w:rsidR="007645E5" w:rsidRPr="002A1DA6">
        <w:rPr>
          <w:rFonts w:cs="Arial"/>
          <w:sz w:val="16"/>
          <w:szCs w:val="16"/>
        </w:rPr>
        <w:t xml:space="preserve">del </w:t>
      </w:r>
      <w:r w:rsidRPr="002A1DA6">
        <w:rPr>
          <w:rFonts w:cs="Arial"/>
          <w:sz w:val="16"/>
          <w:szCs w:val="16"/>
        </w:rPr>
        <w:t>presente C</w:t>
      </w:r>
      <w:r w:rsidR="007645E5" w:rsidRPr="002A1DA6">
        <w:rPr>
          <w:rFonts w:cs="Arial"/>
          <w:sz w:val="16"/>
          <w:szCs w:val="16"/>
        </w:rPr>
        <w:t>apítulo</w:t>
      </w:r>
      <w:r w:rsidRPr="002A1DA6">
        <w:rPr>
          <w:rFonts w:cs="Arial"/>
          <w:sz w:val="16"/>
          <w:szCs w:val="16"/>
        </w:rPr>
        <w:t>:</w:t>
      </w:r>
    </w:p>
    <w:p w:rsidR="00AF5809" w:rsidRPr="002A1DA6" w:rsidRDefault="00AF5809" w:rsidP="008C02D3">
      <w:pPr>
        <w:ind w:right="335"/>
        <w:rPr>
          <w:rFonts w:cs="Arial"/>
          <w:sz w:val="16"/>
          <w:szCs w:val="16"/>
        </w:rPr>
      </w:pPr>
    </w:p>
    <w:p w:rsidR="00AF5809" w:rsidRPr="002A1DA6" w:rsidRDefault="005E4F80" w:rsidP="008C02D3">
      <w:pPr>
        <w:ind w:right="335"/>
        <w:rPr>
          <w:rFonts w:cs="Arial"/>
          <w:sz w:val="16"/>
          <w:szCs w:val="16"/>
        </w:rPr>
      </w:pPr>
      <w:r w:rsidRPr="002A1DA6">
        <w:rPr>
          <w:rFonts w:cs="Arial"/>
          <w:sz w:val="16"/>
          <w:szCs w:val="16"/>
        </w:rPr>
        <w:t xml:space="preserve">1.4.5.2.1. Saldo inicial y final del periodo </w:t>
      </w:r>
    </w:p>
    <w:p w:rsidR="00AF5809" w:rsidRPr="002A1DA6" w:rsidRDefault="00AF5809" w:rsidP="008C02D3">
      <w:pPr>
        <w:ind w:right="335"/>
        <w:rPr>
          <w:rFonts w:cs="Arial"/>
          <w:sz w:val="16"/>
          <w:szCs w:val="16"/>
        </w:rPr>
      </w:pPr>
      <w:r w:rsidRPr="002A1DA6">
        <w:rPr>
          <w:rFonts w:cs="Arial"/>
          <w:sz w:val="16"/>
          <w:szCs w:val="16"/>
        </w:rPr>
        <w:t xml:space="preserve">1.4.5.2.2. Valor y fecha de consignación del auxilio de cesantías </w:t>
      </w:r>
    </w:p>
    <w:p w:rsidR="00AF5809" w:rsidRPr="002A1DA6" w:rsidRDefault="00AF5809" w:rsidP="008C02D3">
      <w:pPr>
        <w:ind w:right="335"/>
        <w:rPr>
          <w:rFonts w:cs="Arial"/>
          <w:sz w:val="16"/>
          <w:szCs w:val="16"/>
        </w:rPr>
      </w:pPr>
      <w:r w:rsidRPr="002A1DA6">
        <w:rPr>
          <w:rFonts w:cs="Arial"/>
          <w:sz w:val="16"/>
          <w:szCs w:val="16"/>
        </w:rPr>
        <w:t xml:space="preserve">1.4.5.2.3. Traslados desde y hacia el fondo de cesantía </w:t>
      </w:r>
    </w:p>
    <w:p w:rsidR="00AF5809" w:rsidRPr="002A1DA6" w:rsidRDefault="00AF5809" w:rsidP="008C02D3">
      <w:pPr>
        <w:ind w:right="335"/>
        <w:rPr>
          <w:rFonts w:cs="Arial"/>
          <w:sz w:val="16"/>
          <w:szCs w:val="16"/>
        </w:rPr>
      </w:pPr>
      <w:r w:rsidRPr="002A1DA6">
        <w:rPr>
          <w:rFonts w:cs="Arial"/>
          <w:sz w:val="16"/>
          <w:szCs w:val="16"/>
        </w:rPr>
        <w:t>1.4.5.2.4. Retiros parciales de cesantías</w:t>
      </w:r>
    </w:p>
    <w:p w:rsidR="00AF5809" w:rsidRPr="002A1DA6" w:rsidRDefault="00AF5809" w:rsidP="008C02D3">
      <w:pPr>
        <w:ind w:right="335"/>
        <w:rPr>
          <w:rFonts w:cs="Arial"/>
          <w:sz w:val="16"/>
          <w:szCs w:val="16"/>
        </w:rPr>
      </w:pPr>
      <w:r w:rsidRPr="002A1DA6">
        <w:rPr>
          <w:rFonts w:cs="Arial"/>
          <w:sz w:val="16"/>
          <w:szCs w:val="16"/>
        </w:rPr>
        <w:t>1.4.5.2.5. Retiros definitivos de cesantías</w:t>
      </w:r>
    </w:p>
    <w:p w:rsidR="00AF5809" w:rsidRPr="002A1DA6" w:rsidRDefault="00AF5809" w:rsidP="008C02D3">
      <w:pPr>
        <w:ind w:right="335"/>
        <w:rPr>
          <w:rFonts w:cs="Arial"/>
          <w:sz w:val="16"/>
          <w:szCs w:val="16"/>
        </w:rPr>
      </w:pPr>
      <w:r w:rsidRPr="002A1DA6">
        <w:rPr>
          <w:rFonts w:cs="Arial"/>
          <w:sz w:val="16"/>
          <w:szCs w:val="16"/>
        </w:rPr>
        <w:t>1.4.5.2.6. Comisión cobrada por retiros parciales</w:t>
      </w:r>
    </w:p>
    <w:p w:rsidR="00AF5809" w:rsidRPr="002A1DA6" w:rsidRDefault="00AF5809" w:rsidP="008C02D3">
      <w:pPr>
        <w:ind w:right="335"/>
        <w:rPr>
          <w:rFonts w:cs="Arial"/>
          <w:sz w:val="16"/>
          <w:szCs w:val="16"/>
        </w:rPr>
      </w:pPr>
      <w:r w:rsidRPr="002A1DA6">
        <w:rPr>
          <w:rFonts w:cs="Arial"/>
          <w:sz w:val="16"/>
          <w:szCs w:val="16"/>
        </w:rPr>
        <w:t>1.4.5.2.7. Porcentaje de comisión por administración</w:t>
      </w:r>
    </w:p>
    <w:p w:rsidR="00AF5809" w:rsidRPr="002A1DA6" w:rsidRDefault="00AF5809" w:rsidP="008C02D3">
      <w:pPr>
        <w:ind w:right="335"/>
        <w:rPr>
          <w:rFonts w:cs="Arial"/>
          <w:sz w:val="16"/>
          <w:szCs w:val="16"/>
        </w:rPr>
      </w:pPr>
      <w:r w:rsidRPr="002A1DA6">
        <w:rPr>
          <w:rFonts w:cs="Arial"/>
          <w:sz w:val="16"/>
          <w:szCs w:val="16"/>
        </w:rPr>
        <w:t>1.4.5.2.8. Rendimientos abonados durante el período, y</w:t>
      </w:r>
    </w:p>
    <w:p w:rsidR="00AF5809" w:rsidRPr="002A1DA6" w:rsidRDefault="00AF5809" w:rsidP="008C02D3">
      <w:pPr>
        <w:ind w:right="335"/>
        <w:rPr>
          <w:rFonts w:cs="Arial"/>
          <w:sz w:val="16"/>
          <w:szCs w:val="16"/>
        </w:rPr>
      </w:pPr>
      <w:r w:rsidRPr="002A1DA6">
        <w:rPr>
          <w:rFonts w:cs="Arial"/>
          <w:sz w:val="16"/>
          <w:szCs w:val="16"/>
        </w:rPr>
        <w:t xml:space="preserve">1.4.5.2.9. Rentabilidad efectiva anual de los portafolios del fondo y de las subcuentas individuales </w:t>
      </w:r>
    </w:p>
    <w:p w:rsidR="00AF5809" w:rsidRPr="002A1DA6" w:rsidRDefault="00AF5809" w:rsidP="008C02D3">
      <w:pPr>
        <w:ind w:right="335"/>
        <w:rPr>
          <w:rFonts w:cs="Arial"/>
          <w:b/>
          <w:sz w:val="16"/>
          <w:szCs w:val="16"/>
        </w:rPr>
      </w:pPr>
    </w:p>
    <w:p w:rsidR="00AF5809" w:rsidRPr="002A1DA6" w:rsidRDefault="00AF5809" w:rsidP="008C02D3">
      <w:pPr>
        <w:ind w:right="335"/>
        <w:rPr>
          <w:rFonts w:cs="Arial"/>
          <w:sz w:val="16"/>
          <w:szCs w:val="16"/>
        </w:rPr>
      </w:pPr>
      <w:r w:rsidRPr="002A1DA6">
        <w:rPr>
          <w:rFonts w:cs="Arial"/>
          <w:sz w:val="16"/>
          <w:szCs w:val="16"/>
        </w:rPr>
        <w:t>1.4.5.3. Medio y dirección a la cual deben remitirse los extractos periódicos</w:t>
      </w:r>
    </w:p>
    <w:p w:rsidR="00AF5809" w:rsidRPr="002A1DA6" w:rsidRDefault="00AF5809" w:rsidP="00FC7BAC">
      <w:pPr>
        <w:ind w:right="51"/>
        <w:rPr>
          <w:rFonts w:cs="Arial"/>
          <w:sz w:val="16"/>
          <w:szCs w:val="16"/>
        </w:rPr>
      </w:pPr>
    </w:p>
    <w:p w:rsidR="00AF5809" w:rsidRPr="002A1DA6" w:rsidRDefault="00AF5809" w:rsidP="00FC7BAC">
      <w:pPr>
        <w:ind w:right="51"/>
        <w:rPr>
          <w:rFonts w:cs="Arial"/>
          <w:sz w:val="16"/>
          <w:szCs w:val="16"/>
        </w:rPr>
      </w:pPr>
      <w:r w:rsidRPr="002A1DA6">
        <w:rPr>
          <w:rFonts w:cs="Arial"/>
          <w:sz w:val="16"/>
          <w:szCs w:val="16"/>
        </w:rPr>
        <w:t>Los extractos deben remitirse por correo físico a la dirección que el afiliado haya indicado expresamente para el recibo de correspondencia.</w:t>
      </w:r>
    </w:p>
    <w:p w:rsidR="00AF5809" w:rsidRPr="002A1DA6" w:rsidRDefault="00AF5809" w:rsidP="00FC7BAC">
      <w:pPr>
        <w:ind w:right="51"/>
        <w:rPr>
          <w:rFonts w:cs="Arial"/>
          <w:sz w:val="16"/>
          <w:szCs w:val="16"/>
        </w:rPr>
      </w:pPr>
    </w:p>
    <w:p w:rsidR="00AF5809" w:rsidRPr="002A1DA6" w:rsidRDefault="00AF5809" w:rsidP="00FC7BAC">
      <w:pPr>
        <w:ind w:right="51"/>
        <w:rPr>
          <w:rFonts w:cs="Arial"/>
          <w:sz w:val="16"/>
          <w:szCs w:val="16"/>
        </w:rPr>
      </w:pPr>
      <w:r w:rsidRPr="002A1DA6">
        <w:rPr>
          <w:rFonts w:cs="Arial"/>
          <w:sz w:val="16"/>
          <w:szCs w:val="16"/>
        </w:rPr>
        <w:t>La utilización de medios distintos para el envío de los extractos a los afiliados debe quedar consignada en el reglamento del fondo de cesantías y sólo puede darse respecto de los afiliados que lo consientan de manera expresa.</w:t>
      </w:r>
    </w:p>
    <w:p w:rsidR="00AF5809" w:rsidRPr="002A1DA6" w:rsidRDefault="00AF5809" w:rsidP="008C02D3">
      <w:pPr>
        <w:ind w:right="335"/>
        <w:rPr>
          <w:rFonts w:cs="Arial"/>
          <w:sz w:val="16"/>
          <w:szCs w:val="16"/>
        </w:rPr>
      </w:pPr>
    </w:p>
    <w:p w:rsidR="00AF5809" w:rsidRPr="002A1DA6" w:rsidRDefault="00AF5809" w:rsidP="00FC7BAC">
      <w:pPr>
        <w:ind w:right="51"/>
        <w:rPr>
          <w:rFonts w:cs="Arial"/>
          <w:sz w:val="16"/>
          <w:szCs w:val="16"/>
        </w:rPr>
      </w:pPr>
      <w:r w:rsidRPr="002A1DA6">
        <w:rPr>
          <w:rFonts w:cs="Arial"/>
          <w:sz w:val="16"/>
          <w:szCs w:val="16"/>
        </w:rPr>
        <w:t>La SFC debe evaluar la idoneidad y seguridad del medio para el envío de los extractos al momento de autorizar su inclusión en el reglamento del fondo de cesantías.</w:t>
      </w:r>
    </w:p>
    <w:p w:rsidR="00AF5809" w:rsidRPr="002A1DA6" w:rsidRDefault="00AF5809" w:rsidP="00FC7BAC">
      <w:pPr>
        <w:pStyle w:val="Encabezado"/>
        <w:suppressLineNumbers/>
        <w:ind w:right="51"/>
        <w:rPr>
          <w:rFonts w:cs="Arial"/>
          <w:b/>
          <w:sz w:val="16"/>
          <w:szCs w:val="16"/>
          <w:lang w:val="es-ES"/>
        </w:rPr>
      </w:pPr>
    </w:p>
    <w:p w:rsidR="00AF5809" w:rsidRPr="002A1DA6" w:rsidRDefault="00AF5809" w:rsidP="00FC7BAC">
      <w:pPr>
        <w:ind w:right="51"/>
        <w:rPr>
          <w:rFonts w:cs="Arial"/>
          <w:sz w:val="16"/>
          <w:szCs w:val="16"/>
        </w:rPr>
      </w:pPr>
      <w:r w:rsidRPr="002A1DA6">
        <w:rPr>
          <w:rFonts w:cs="Arial"/>
          <w:sz w:val="16"/>
          <w:szCs w:val="16"/>
        </w:rPr>
        <w:t xml:space="preserve">1.4.6. Valoración subcuentas individuales </w:t>
      </w:r>
    </w:p>
    <w:p w:rsidR="00AF5809" w:rsidRPr="002A1DA6" w:rsidRDefault="00AF5809" w:rsidP="00FC7BAC">
      <w:pPr>
        <w:ind w:right="51"/>
        <w:rPr>
          <w:rFonts w:cs="Arial"/>
          <w:sz w:val="16"/>
          <w:szCs w:val="16"/>
        </w:rPr>
      </w:pPr>
    </w:p>
    <w:p w:rsidR="00AF5809" w:rsidRPr="002A1DA6" w:rsidRDefault="00AF5809" w:rsidP="00FC7BAC">
      <w:pPr>
        <w:ind w:right="51"/>
        <w:rPr>
          <w:rFonts w:cs="Arial"/>
          <w:sz w:val="16"/>
          <w:szCs w:val="16"/>
        </w:rPr>
      </w:pPr>
      <w:r w:rsidRPr="002A1DA6">
        <w:rPr>
          <w:rFonts w:cs="Arial"/>
          <w:sz w:val="16"/>
          <w:szCs w:val="16"/>
        </w:rPr>
        <w:t>El valor de cada uno de los portafolios de corto y largo plazo del fondo de cesantía debe determinarse en forma diaria de conformidad con el procedimiento establecido por esta Superintendencia y expresarse en unidades de igual monto y características, donde las unidades miden el valor de los aportes de los afiliados y su mayor valor representa los rendimientos que se han obtenido en el período respectivo, como consecuencia de la gestión adelantada por la administradora, sin la injerencia de factores extraños que afecten la transparencia de su manejo y que atenten contra los principios inspiradores de una sana competencia entre las administradoras.</w:t>
      </w:r>
    </w:p>
    <w:p w:rsidR="00AF5809" w:rsidRPr="002A1DA6" w:rsidRDefault="00AF5809" w:rsidP="00FC7BAC">
      <w:pPr>
        <w:ind w:right="51"/>
        <w:rPr>
          <w:rFonts w:cs="Arial"/>
          <w:sz w:val="16"/>
          <w:szCs w:val="16"/>
        </w:rPr>
      </w:pPr>
    </w:p>
    <w:p w:rsidR="00AF5809" w:rsidRPr="002A1DA6" w:rsidRDefault="00AF5809" w:rsidP="00FC7BAC">
      <w:pPr>
        <w:ind w:right="51"/>
        <w:rPr>
          <w:rFonts w:cs="Arial"/>
          <w:sz w:val="16"/>
          <w:szCs w:val="16"/>
        </w:rPr>
      </w:pPr>
      <w:r w:rsidRPr="002A1DA6">
        <w:rPr>
          <w:rFonts w:cs="Arial"/>
          <w:sz w:val="16"/>
          <w:szCs w:val="16"/>
        </w:rPr>
        <w:t>Cuando una administradora estime procedente efectuar aportes con sus propios recursos a los portafolios administrados debe efectuarlos de forma tal que los mismos no alteren la rentabilidad de los portafolios, ni por consiguiente, el valor de la unidad, pues las AFPC no pueden sustraerse a su obligación legal de administrar e invertir los recursos de los portafolios de corto y largo plazo del fondo en activos de acuerdo con el régimen de inversión definido por el Gobierno Nacional, con el propósito de obtener la rentabilidad mínima exigida, utilizando el traslado dinero al portafolio que administran.</w:t>
      </w:r>
    </w:p>
    <w:p w:rsidR="00AF5809" w:rsidRPr="002A1DA6" w:rsidRDefault="00AF5809" w:rsidP="00FC7BAC">
      <w:pPr>
        <w:ind w:right="51"/>
        <w:rPr>
          <w:rFonts w:cs="Arial"/>
          <w:b/>
          <w:sz w:val="16"/>
          <w:szCs w:val="16"/>
        </w:rPr>
      </w:pPr>
    </w:p>
    <w:p w:rsidR="00AF5809" w:rsidRPr="002A1DA6" w:rsidRDefault="00AF5809" w:rsidP="00FC7BAC">
      <w:pPr>
        <w:ind w:right="51"/>
        <w:rPr>
          <w:rFonts w:cs="Arial"/>
          <w:sz w:val="16"/>
          <w:szCs w:val="16"/>
        </w:rPr>
      </w:pPr>
      <w:r w:rsidRPr="002A1DA6">
        <w:rPr>
          <w:rFonts w:cs="Arial"/>
          <w:sz w:val="16"/>
          <w:szCs w:val="16"/>
        </w:rPr>
        <w:t>En conclusión, las donaciones de dinero tanto de la misma sociedad administradora como de cualquier persona natural o jurídica, deben abonarse a los portafolios administrados, previo el cumplimiento de las disposiciones legales pertinentes, tratarse como una consignación y abonarse como unidades en las cuentas individuales a nombre de los afiliados.</w:t>
      </w:r>
    </w:p>
    <w:p w:rsidR="00AF5809" w:rsidRPr="002A1DA6" w:rsidRDefault="00AF5809" w:rsidP="008C02D3">
      <w:pPr>
        <w:ind w:right="335"/>
        <w:rPr>
          <w:rFonts w:cs="Arial"/>
          <w:b/>
          <w:sz w:val="16"/>
          <w:szCs w:val="16"/>
        </w:rPr>
      </w:pPr>
    </w:p>
    <w:p w:rsidR="00AF5809" w:rsidRPr="002A1DA6" w:rsidRDefault="00AF5809" w:rsidP="008C02D3">
      <w:pPr>
        <w:pStyle w:val="Ttulo2"/>
        <w:spacing w:before="0" w:after="0"/>
        <w:rPr>
          <w:rFonts w:cs="Arial"/>
          <w:sz w:val="16"/>
          <w:szCs w:val="16"/>
        </w:rPr>
      </w:pPr>
      <w:bookmarkStart w:id="6" w:name="_Toc264009217"/>
      <w:r w:rsidRPr="002A1DA6">
        <w:rPr>
          <w:rFonts w:cs="Arial"/>
          <w:sz w:val="16"/>
          <w:szCs w:val="16"/>
        </w:rPr>
        <w:t>1.5. Mecanismo de protección al cesante</w:t>
      </w:r>
      <w:bookmarkEnd w:id="6"/>
    </w:p>
    <w:p w:rsidR="00AF5809" w:rsidRPr="002A1DA6" w:rsidRDefault="00AF5809" w:rsidP="008C02D3">
      <w:pPr>
        <w:ind w:right="335"/>
        <w:rPr>
          <w:rFonts w:cs="Arial"/>
          <w:b/>
          <w:sz w:val="16"/>
          <w:szCs w:val="16"/>
        </w:rPr>
      </w:pPr>
    </w:p>
    <w:p w:rsidR="00AF5809" w:rsidRPr="002A1DA6" w:rsidRDefault="00AF5809" w:rsidP="008C02D3">
      <w:pPr>
        <w:tabs>
          <w:tab w:val="left" w:pos="9923"/>
        </w:tabs>
        <w:ind w:right="51"/>
        <w:rPr>
          <w:rFonts w:cs="Arial"/>
          <w:sz w:val="16"/>
          <w:szCs w:val="16"/>
        </w:rPr>
      </w:pPr>
      <w:r w:rsidRPr="002A1DA6">
        <w:rPr>
          <w:rFonts w:cs="Arial"/>
          <w:sz w:val="16"/>
          <w:szCs w:val="16"/>
        </w:rPr>
        <w:t xml:space="preserve">Sin perjuicio de las disposiciones aplicables al auxilio de la cesantía por parte de las sociedades administradoras de los fondos de cesantías, con el fin de que se logren los objetivos y se de una adecuada aplicación de la normatividad en materia de acceso y ejecución del mecanismo de protección al cesante de que trata la Ley 1636 de 2013 y el Decreto 135 de 2014, constituyen obligaciones especiales de las AFPC: </w:t>
      </w:r>
    </w:p>
    <w:p w:rsidR="00AF5809" w:rsidRPr="002A1DA6" w:rsidRDefault="00AF5809" w:rsidP="008C02D3">
      <w:pPr>
        <w:ind w:right="335"/>
        <w:rPr>
          <w:rFonts w:cs="Arial"/>
          <w:b/>
          <w:sz w:val="16"/>
          <w:szCs w:val="16"/>
        </w:rPr>
      </w:pPr>
    </w:p>
    <w:p w:rsidR="00AF5809" w:rsidRPr="002A1DA6" w:rsidRDefault="00AF5809" w:rsidP="008C02D3">
      <w:pPr>
        <w:rPr>
          <w:rFonts w:cs="Arial"/>
          <w:sz w:val="16"/>
          <w:szCs w:val="16"/>
        </w:rPr>
      </w:pPr>
      <w:r w:rsidRPr="002A1DA6">
        <w:rPr>
          <w:rFonts w:cs="Arial"/>
          <w:sz w:val="16"/>
          <w:szCs w:val="16"/>
        </w:rPr>
        <w:lastRenderedPageBreak/>
        <w:t>1.5.1. Tener a disposición de los afiliados al fondo de cesantías el formato que determine el Ministerio del Trabajo a través del cual el trabajador autoriza la destinación de todo o parte de sus cesantías para ahorro en el mecanismo de protección al cesante.</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1.5.2. Divulgar y promover en sus canales de servicio la destinación que pueden dar los afiliados de manera libre y voluntaria a parte o la totalidad de las cesantías para la financiación del mecanismo de protección al cesante. Especialmente, durante el primer trimestre de cada anualidad, deben disponer campañas y acciones orientadas a explicar a sus afiliados la operatividad de dicho mecanismo.</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1.5.3. Adoptar los mecanismos que correspondan a fin de que la decisión de los trabajadores sobre destinación de cesantías para ahorro en el mecanismo de protección al cesante pueda realizarse por medios electrónicos, con las debidas seguridades informáticas y de protección de datos.</w:t>
      </w:r>
    </w:p>
    <w:p w:rsidR="00AF5809" w:rsidRPr="002A1DA6" w:rsidRDefault="00AF5809" w:rsidP="008C02D3">
      <w:pPr>
        <w:rPr>
          <w:rFonts w:cs="Arial"/>
          <w:sz w:val="16"/>
          <w:szCs w:val="16"/>
        </w:rPr>
      </w:pPr>
    </w:p>
    <w:p w:rsidR="00AF5809" w:rsidRPr="002A1DA6" w:rsidRDefault="00AF5809" w:rsidP="008C02D3">
      <w:pPr>
        <w:widowControl w:val="0"/>
        <w:autoSpaceDE w:val="0"/>
        <w:autoSpaceDN w:val="0"/>
        <w:adjustRightInd w:val="0"/>
        <w:rPr>
          <w:rFonts w:cs="Arial"/>
          <w:sz w:val="16"/>
          <w:szCs w:val="16"/>
        </w:rPr>
      </w:pPr>
      <w:r w:rsidRPr="002A1DA6">
        <w:rPr>
          <w:rFonts w:cs="Arial"/>
          <w:sz w:val="16"/>
          <w:szCs w:val="16"/>
        </w:rPr>
        <w:t>1.5.4. Trasladar a la caja de compensación familiar requiriente, el ahorro y los rendimientos destinados por el beneficiario para el mecanismo de protección al cesante, dentro del plazo previsto por el art. 7 de la Ley 1636 de 2013 y utilizando el mismo procedimiento definido para el pago de cesantías a los afiliados, propendiendo porque los</w:t>
      </w:r>
      <w:r w:rsidRPr="002A1DA6">
        <w:rPr>
          <w:rFonts w:cs="Arial"/>
          <w:sz w:val="16"/>
          <w:szCs w:val="16"/>
          <w:lang w:val="es-ES" w:eastAsia="es-ES"/>
        </w:rPr>
        <w:t xml:space="preserve"> </w:t>
      </w:r>
      <w:r w:rsidRPr="002A1DA6">
        <w:rPr>
          <w:rFonts w:cs="Arial"/>
          <w:sz w:val="16"/>
          <w:szCs w:val="16"/>
        </w:rPr>
        <w:t>traslados sean efectuados en línea.</w:t>
      </w:r>
    </w:p>
    <w:p w:rsidR="00AF5809" w:rsidRPr="002A1DA6" w:rsidRDefault="00AF5809" w:rsidP="008C02D3">
      <w:pPr>
        <w:widowControl w:val="0"/>
        <w:autoSpaceDE w:val="0"/>
        <w:autoSpaceDN w:val="0"/>
        <w:adjustRightInd w:val="0"/>
        <w:rPr>
          <w:rFonts w:cs="Arial"/>
          <w:sz w:val="16"/>
          <w:szCs w:val="16"/>
          <w:lang w:val="es-ES" w:eastAsia="es-ES"/>
        </w:rPr>
      </w:pPr>
    </w:p>
    <w:p w:rsidR="00AF5809" w:rsidRPr="002A1DA6" w:rsidRDefault="00AF5809" w:rsidP="008C02D3">
      <w:pPr>
        <w:widowControl w:val="0"/>
        <w:autoSpaceDE w:val="0"/>
        <w:autoSpaceDN w:val="0"/>
        <w:adjustRightInd w:val="0"/>
        <w:rPr>
          <w:rFonts w:cs="Arial"/>
          <w:sz w:val="16"/>
          <w:szCs w:val="16"/>
        </w:rPr>
      </w:pPr>
      <w:r w:rsidRPr="002A1DA6">
        <w:rPr>
          <w:rFonts w:cs="Arial"/>
          <w:sz w:val="16"/>
          <w:szCs w:val="16"/>
        </w:rPr>
        <w:t>1.5.5. Desarrollar herramientas de información y consulta sobre las condiciones de los beneficiarios del mecanismo de protección al cesante, en particular sobre el registro de éstos para el acceso a los beneficios, consultando los criterios de seguridad y protección de datos que sean aplicables.</w:t>
      </w:r>
    </w:p>
    <w:p w:rsidR="00AF5809" w:rsidRPr="002A1DA6" w:rsidRDefault="00AF5809" w:rsidP="008C02D3">
      <w:pPr>
        <w:widowControl w:val="0"/>
        <w:autoSpaceDE w:val="0"/>
        <w:autoSpaceDN w:val="0"/>
        <w:adjustRightInd w:val="0"/>
        <w:rPr>
          <w:rFonts w:cs="Arial"/>
          <w:sz w:val="16"/>
          <w:szCs w:val="16"/>
          <w:lang w:val="es-ES" w:eastAsia="es-ES"/>
        </w:rPr>
      </w:pPr>
    </w:p>
    <w:p w:rsidR="00AF5809" w:rsidRPr="002A1DA6" w:rsidRDefault="00AF5809" w:rsidP="008C02D3">
      <w:pPr>
        <w:rPr>
          <w:rFonts w:cs="Arial"/>
          <w:sz w:val="16"/>
          <w:szCs w:val="16"/>
        </w:rPr>
      </w:pPr>
      <w:r w:rsidRPr="002A1DA6">
        <w:rPr>
          <w:rFonts w:cs="Arial"/>
          <w:sz w:val="16"/>
          <w:szCs w:val="16"/>
        </w:rPr>
        <w:t>1.5.6. Conservar la destinación de ahorro decidida por afiliado a los recursos orientados al citado mecanismo, en caso de traslado entre entidades administradoras de cesantías.</w:t>
      </w:r>
    </w:p>
    <w:p w:rsidR="00AF5809" w:rsidRPr="002A1DA6" w:rsidRDefault="00AF5809" w:rsidP="008C02D3">
      <w:pPr>
        <w:rPr>
          <w:rFonts w:cs="Arial"/>
          <w:sz w:val="16"/>
          <w:szCs w:val="16"/>
        </w:rPr>
      </w:pPr>
    </w:p>
    <w:p w:rsidR="00AF5809" w:rsidRPr="002A1DA6" w:rsidRDefault="00AF5809" w:rsidP="008C02D3">
      <w:pPr>
        <w:rPr>
          <w:rFonts w:cs="Arial"/>
          <w:sz w:val="16"/>
          <w:szCs w:val="16"/>
        </w:rPr>
      </w:pPr>
      <w:r w:rsidRPr="002A1DA6">
        <w:rPr>
          <w:rFonts w:cs="Arial"/>
          <w:sz w:val="16"/>
          <w:szCs w:val="16"/>
        </w:rPr>
        <w:t>1.5.7. Contabilizar, en forma separada, los recursos de ahorro voluntario destinados por los trabajadores para el mecanismo de protección al cesante.</w:t>
      </w:r>
    </w:p>
    <w:p w:rsidR="00AF5809" w:rsidRPr="002A1DA6" w:rsidRDefault="00AF5809" w:rsidP="008C02D3">
      <w:pPr>
        <w:ind w:right="335"/>
        <w:rPr>
          <w:rFonts w:cs="Arial"/>
          <w:b/>
          <w:sz w:val="16"/>
          <w:szCs w:val="16"/>
        </w:rPr>
      </w:pPr>
    </w:p>
    <w:p w:rsidR="00AF5809" w:rsidRPr="002A1DA6" w:rsidRDefault="00AF5809" w:rsidP="008C02D3">
      <w:pPr>
        <w:pStyle w:val="Ttulo2"/>
        <w:spacing w:before="0" w:after="0"/>
        <w:rPr>
          <w:rFonts w:cs="Arial"/>
          <w:sz w:val="16"/>
          <w:szCs w:val="16"/>
        </w:rPr>
      </w:pPr>
      <w:bookmarkStart w:id="7" w:name="_Toc264009218"/>
      <w:r w:rsidRPr="002A1DA6">
        <w:rPr>
          <w:rFonts w:cs="Arial"/>
          <w:sz w:val="16"/>
          <w:szCs w:val="16"/>
        </w:rPr>
        <w:t>1.6. Cesión de fondos de cesantía</w:t>
      </w:r>
      <w:bookmarkEnd w:id="7"/>
    </w:p>
    <w:p w:rsidR="00AF5809" w:rsidRPr="002A1DA6" w:rsidRDefault="00AF5809" w:rsidP="008C02D3">
      <w:pPr>
        <w:ind w:right="335"/>
        <w:rPr>
          <w:rFonts w:cs="Arial"/>
          <w:sz w:val="16"/>
          <w:szCs w:val="16"/>
        </w:rPr>
      </w:pPr>
    </w:p>
    <w:p w:rsidR="00AF5809" w:rsidRPr="002A1DA6" w:rsidRDefault="00AF5809" w:rsidP="008C02D3">
      <w:pPr>
        <w:tabs>
          <w:tab w:val="left" w:pos="9923"/>
        </w:tabs>
        <w:ind w:right="51"/>
        <w:rPr>
          <w:rFonts w:cs="Arial"/>
          <w:sz w:val="16"/>
          <w:szCs w:val="16"/>
        </w:rPr>
      </w:pPr>
      <w:r w:rsidRPr="002A1DA6">
        <w:rPr>
          <w:rFonts w:cs="Arial"/>
          <w:sz w:val="16"/>
          <w:szCs w:val="16"/>
        </w:rPr>
        <w:t>Con el fin de garantizar que la cesión de los fondos de cesantía se efectúe con sujeción a la ley, en defensa de los intereses de los afiliados al mismo, se considera indispensable impartir las siguientes instrucciones:</w:t>
      </w:r>
    </w:p>
    <w:p w:rsidR="00AF5809" w:rsidRPr="002A1DA6" w:rsidRDefault="00AF5809" w:rsidP="008C02D3">
      <w:pPr>
        <w:tabs>
          <w:tab w:val="left" w:pos="9923"/>
        </w:tabs>
        <w:ind w:right="51"/>
        <w:rPr>
          <w:rFonts w:cs="Arial"/>
          <w:sz w:val="16"/>
          <w:szCs w:val="16"/>
        </w:rPr>
      </w:pPr>
    </w:p>
    <w:p w:rsidR="00AF5809" w:rsidRPr="002A1DA6" w:rsidRDefault="00AF5809" w:rsidP="008C02D3">
      <w:pPr>
        <w:tabs>
          <w:tab w:val="left" w:pos="9923"/>
        </w:tabs>
        <w:ind w:right="51"/>
        <w:rPr>
          <w:rFonts w:cs="Arial"/>
          <w:sz w:val="16"/>
          <w:szCs w:val="16"/>
        </w:rPr>
      </w:pPr>
      <w:r w:rsidRPr="002A1DA6">
        <w:rPr>
          <w:rFonts w:cs="Arial"/>
          <w:sz w:val="16"/>
          <w:szCs w:val="16"/>
        </w:rPr>
        <w:t>1.6.1. Cierre</w:t>
      </w:r>
    </w:p>
    <w:p w:rsidR="00AF5809" w:rsidRPr="002A1DA6" w:rsidRDefault="00AF5809" w:rsidP="008C02D3">
      <w:pPr>
        <w:tabs>
          <w:tab w:val="left" w:pos="9923"/>
        </w:tabs>
        <w:ind w:right="51"/>
        <w:rPr>
          <w:rFonts w:cs="Arial"/>
          <w:sz w:val="16"/>
          <w:szCs w:val="16"/>
        </w:rPr>
      </w:pPr>
    </w:p>
    <w:p w:rsidR="00AF5809" w:rsidRPr="002A1DA6" w:rsidRDefault="00AF5809" w:rsidP="008C02D3">
      <w:pPr>
        <w:tabs>
          <w:tab w:val="left" w:pos="9923"/>
        </w:tabs>
        <w:ind w:right="51"/>
        <w:rPr>
          <w:rFonts w:cs="Arial"/>
          <w:sz w:val="16"/>
          <w:szCs w:val="16"/>
        </w:rPr>
      </w:pPr>
      <w:r w:rsidRPr="002A1DA6">
        <w:rPr>
          <w:rFonts w:cs="Arial"/>
          <w:sz w:val="16"/>
          <w:szCs w:val="16"/>
        </w:rPr>
        <w:t>Las AFPC que de conformidad con lo previsto en el art. 167 del EOSF cedan el fondo de cesantías por ellas administrado deben efectuar un corte de ejercicio en la fecha inmediatamente anterior a aquella en que se produzca la cesión, siguiendo para el efecto el procedimiento de cierre mensual establecido por la SFC.</w:t>
      </w:r>
    </w:p>
    <w:p w:rsidR="00AF5809" w:rsidRPr="002A1DA6" w:rsidRDefault="00AF5809" w:rsidP="008C02D3">
      <w:pPr>
        <w:tabs>
          <w:tab w:val="left" w:pos="9923"/>
        </w:tabs>
        <w:ind w:right="51"/>
        <w:rPr>
          <w:rFonts w:cs="Arial"/>
          <w:sz w:val="16"/>
          <w:szCs w:val="16"/>
        </w:rPr>
      </w:pPr>
    </w:p>
    <w:p w:rsidR="00AF5809" w:rsidRPr="002A1DA6" w:rsidRDefault="00AF5809" w:rsidP="008C02D3">
      <w:pPr>
        <w:tabs>
          <w:tab w:val="left" w:pos="9923"/>
        </w:tabs>
        <w:ind w:right="51"/>
        <w:rPr>
          <w:rFonts w:cs="Arial"/>
          <w:sz w:val="16"/>
          <w:szCs w:val="16"/>
        </w:rPr>
      </w:pPr>
      <w:r w:rsidRPr="002A1DA6">
        <w:rPr>
          <w:rFonts w:cs="Arial"/>
          <w:sz w:val="16"/>
          <w:szCs w:val="16"/>
        </w:rPr>
        <w:t>1.6.2. Identificación</w:t>
      </w:r>
    </w:p>
    <w:p w:rsidR="00AF5809" w:rsidRPr="002A1DA6" w:rsidRDefault="00AF5809" w:rsidP="008C02D3">
      <w:pPr>
        <w:tabs>
          <w:tab w:val="left" w:pos="9923"/>
        </w:tabs>
        <w:ind w:right="51"/>
        <w:rPr>
          <w:rFonts w:cs="Arial"/>
          <w:sz w:val="16"/>
          <w:szCs w:val="16"/>
        </w:rPr>
      </w:pPr>
    </w:p>
    <w:p w:rsidR="00AF5809" w:rsidRPr="002A1DA6" w:rsidRDefault="00AF5809" w:rsidP="008C02D3">
      <w:pPr>
        <w:tabs>
          <w:tab w:val="left" w:pos="9923"/>
        </w:tabs>
        <w:ind w:right="51"/>
        <w:rPr>
          <w:rFonts w:cs="Arial"/>
          <w:sz w:val="16"/>
          <w:szCs w:val="16"/>
        </w:rPr>
      </w:pPr>
      <w:r w:rsidRPr="002A1DA6">
        <w:rPr>
          <w:rFonts w:cs="Arial"/>
          <w:sz w:val="16"/>
          <w:szCs w:val="16"/>
        </w:rPr>
        <w:t>Al momento de la cesión de un fondo de cesantías, la sociedad cedente debe entregar a la sociedad cesionaria la relación de los afiliados al fondo, con indicación de su participación en los portafolios de corto y largo plazo, expresada en pesos y unidades.</w:t>
      </w:r>
    </w:p>
    <w:p w:rsidR="00AF5809" w:rsidRPr="002A1DA6" w:rsidRDefault="00AF5809" w:rsidP="008C02D3">
      <w:pPr>
        <w:tabs>
          <w:tab w:val="left" w:pos="9923"/>
        </w:tabs>
        <w:ind w:right="51"/>
        <w:rPr>
          <w:rFonts w:cs="Arial"/>
          <w:b/>
          <w:sz w:val="16"/>
          <w:szCs w:val="16"/>
        </w:rPr>
      </w:pPr>
    </w:p>
    <w:p w:rsidR="00AF5809" w:rsidRPr="002A1DA6" w:rsidRDefault="00AF5809" w:rsidP="008C02D3">
      <w:pPr>
        <w:tabs>
          <w:tab w:val="left" w:pos="9923"/>
        </w:tabs>
        <w:ind w:right="51"/>
        <w:rPr>
          <w:rFonts w:cs="Arial"/>
          <w:sz w:val="16"/>
          <w:szCs w:val="16"/>
        </w:rPr>
      </w:pPr>
      <w:r w:rsidRPr="002A1DA6">
        <w:rPr>
          <w:rFonts w:cs="Arial"/>
          <w:sz w:val="16"/>
          <w:szCs w:val="16"/>
        </w:rPr>
        <w:t>1.6.3. Garantía de rentabilidad mínima</w:t>
      </w:r>
    </w:p>
    <w:p w:rsidR="00AF5809" w:rsidRPr="002A1DA6" w:rsidRDefault="00AF5809" w:rsidP="008C02D3">
      <w:pPr>
        <w:tabs>
          <w:tab w:val="left" w:pos="9923"/>
        </w:tabs>
        <w:ind w:right="51"/>
        <w:rPr>
          <w:rFonts w:cs="Arial"/>
          <w:sz w:val="16"/>
          <w:szCs w:val="16"/>
        </w:rPr>
      </w:pPr>
    </w:p>
    <w:p w:rsidR="00AF5809" w:rsidRPr="002A1DA6" w:rsidRDefault="00AF5809" w:rsidP="008C02D3">
      <w:pPr>
        <w:tabs>
          <w:tab w:val="left" w:pos="9923"/>
        </w:tabs>
        <w:ind w:right="51"/>
        <w:rPr>
          <w:rFonts w:cs="Arial"/>
          <w:sz w:val="16"/>
          <w:szCs w:val="16"/>
        </w:rPr>
      </w:pPr>
      <w:r w:rsidRPr="002A1DA6">
        <w:rPr>
          <w:rFonts w:cs="Arial"/>
          <w:sz w:val="16"/>
          <w:szCs w:val="16"/>
        </w:rPr>
        <w:t>La sociedad cedente de un fondo de cesantía debe garantizar la rentabilidad mínima acumulada exigida por la ley para cada uno de los portafolios administrados, con corte a la fecha en que se efectúe la cesión del fondo. Para el efecto, la SFC debe informar la rentabilidad mínima a las sociedades cedente y cesionaria, dentro de los 5 días hábiles siguientes a la cesión del fondo.</w:t>
      </w:r>
    </w:p>
    <w:p w:rsidR="00AF5809" w:rsidRPr="002A1DA6" w:rsidRDefault="00AF5809" w:rsidP="008C02D3">
      <w:pPr>
        <w:tabs>
          <w:tab w:val="left" w:pos="9923"/>
        </w:tabs>
        <w:ind w:right="51"/>
        <w:rPr>
          <w:rFonts w:cs="Arial"/>
          <w:sz w:val="16"/>
          <w:szCs w:val="16"/>
        </w:rPr>
      </w:pPr>
    </w:p>
    <w:p w:rsidR="00AF5809" w:rsidRPr="002A1DA6" w:rsidRDefault="00AF5809" w:rsidP="008C02D3">
      <w:pPr>
        <w:tabs>
          <w:tab w:val="left" w:pos="9923"/>
        </w:tabs>
        <w:ind w:right="51"/>
        <w:rPr>
          <w:rFonts w:cs="Arial"/>
          <w:sz w:val="16"/>
          <w:szCs w:val="16"/>
        </w:rPr>
      </w:pPr>
      <w:r w:rsidRPr="002A1DA6">
        <w:rPr>
          <w:rFonts w:cs="Arial"/>
          <w:sz w:val="16"/>
          <w:szCs w:val="16"/>
        </w:rPr>
        <w:t xml:space="preserve">Suministrada dicha información, la entidad cedente dispone de un plazo de 5 días comunes para cancelar la suma necesaria para alcanzar la rentabilidad mínima exigida. </w:t>
      </w:r>
    </w:p>
    <w:p w:rsidR="00AF5809" w:rsidRPr="002A1DA6" w:rsidRDefault="00AF5809" w:rsidP="008C02D3">
      <w:pPr>
        <w:tabs>
          <w:tab w:val="left" w:pos="9923"/>
        </w:tabs>
        <w:ind w:right="51"/>
        <w:rPr>
          <w:rFonts w:cs="Arial"/>
          <w:sz w:val="16"/>
          <w:szCs w:val="16"/>
        </w:rPr>
      </w:pPr>
    </w:p>
    <w:p w:rsidR="00AF5809" w:rsidRPr="002A1DA6" w:rsidRDefault="00AF5809" w:rsidP="008C02D3">
      <w:pPr>
        <w:tabs>
          <w:tab w:val="left" w:pos="9923"/>
        </w:tabs>
        <w:ind w:right="51"/>
        <w:rPr>
          <w:rFonts w:cs="Arial"/>
          <w:sz w:val="16"/>
          <w:szCs w:val="16"/>
        </w:rPr>
      </w:pPr>
      <w:r w:rsidRPr="002A1DA6">
        <w:rPr>
          <w:rFonts w:cs="Arial"/>
          <w:sz w:val="16"/>
          <w:szCs w:val="16"/>
        </w:rPr>
        <w:t>Esta suma se cancelará, en primer lugar, con cargo a la comisión de administración causada hasta el día del cierre a favor de la entidad cedente.</w:t>
      </w:r>
    </w:p>
    <w:p w:rsidR="00AF5809" w:rsidRPr="002A1DA6" w:rsidRDefault="00AF5809" w:rsidP="008C02D3">
      <w:pPr>
        <w:pStyle w:val="Encabezado"/>
        <w:suppressLineNumbers/>
        <w:tabs>
          <w:tab w:val="left" w:pos="9923"/>
        </w:tabs>
        <w:ind w:right="51"/>
        <w:rPr>
          <w:rFonts w:cs="Arial"/>
          <w:sz w:val="16"/>
          <w:szCs w:val="16"/>
          <w:lang w:val="es-CO"/>
        </w:rPr>
      </w:pPr>
    </w:p>
    <w:p w:rsidR="00AF5809" w:rsidRPr="002A1DA6" w:rsidRDefault="00AF5809" w:rsidP="008C02D3">
      <w:pPr>
        <w:tabs>
          <w:tab w:val="left" w:pos="9923"/>
        </w:tabs>
        <w:ind w:right="51"/>
        <w:rPr>
          <w:rFonts w:cs="Arial"/>
          <w:sz w:val="16"/>
          <w:szCs w:val="16"/>
        </w:rPr>
      </w:pPr>
      <w:r w:rsidRPr="002A1DA6">
        <w:rPr>
          <w:rFonts w:cs="Arial"/>
          <w:sz w:val="16"/>
          <w:szCs w:val="16"/>
        </w:rPr>
        <w:t>Cuando la comisión de administración causada sea insuficiente para alcanzar la rentabilidad mínima exigida, la diferencia debe ser entregada en efectivo a los portafolios del fondo cesionario para su abono en las cuentas de capitalización individual de quienes al momento de la cesión se encontraban afiliados a los portafolios del fondo cedido. Dicho abono se debe efectuarse en unidades.</w:t>
      </w:r>
    </w:p>
    <w:p w:rsidR="00AF5809" w:rsidRPr="002A1DA6" w:rsidRDefault="00AF5809" w:rsidP="008C02D3">
      <w:pPr>
        <w:tabs>
          <w:tab w:val="left" w:pos="9923"/>
        </w:tabs>
        <w:ind w:right="51"/>
        <w:rPr>
          <w:rFonts w:cs="Arial"/>
          <w:sz w:val="16"/>
          <w:szCs w:val="16"/>
        </w:rPr>
      </w:pPr>
    </w:p>
    <w:p w:rsidR="00AF5809" w:rsidRPr="002A1DA6" w:rsidRDefault="00AF5809" w:rsidP="008C02D3">
      <w:pPr>
        <w:tabs>
          <w:tab w:val="left" w:pos="9923"/>
        </w:tabs>
        <w:ind w:right="51"/>
        <w:rPr>
          <w:rFonts w:cs="Arial"/>
          <w:sz w:val="16"/>
          <w:szCs w:val="16"/>
        </w:rPr>
      </w:pPr>
      <w:r w:rsidRPr="002A1DA6">
        <w:rPr>
          <w:rFonts w:cs="Arial"/>
          <w:sz w:val="16"/>
          <w:szCs w:val="16"/>
        </w:rPr>
        <w:t>En caso de fusión de la entidad cedente, o cuando la totalidad de sus acciones en circulación hayan sido adquiridas por otra entidad o sus pasivos hayan sido cedidos, la obligación de garantizar la rentabilidad mínima debe extenderse a la entidad absorbente o a la nueva sociedad resultante de la fusión, así como a la adquirente de las acciones o de los pasivos, según sea el caso.</w:t>
      </w:r>
    </w:p>
    <w:p w:rsidR="00AF5809" w:rsidRPr="002A1DA6" w:rsidRDefault="00AF5809" w:rsidP="008C02D3">
      <w:pPr>
        <w:tabs>
          <w:tab w:val="left" w:pos="9923"/>
        </w:tabs>
        <w:ind w:right="51"/>
        <w:rPr>
          <w:rFonts w:cs="Arial"/>
          <w:sz w:val="16"/>
          <w:szCs w:val="16"/>
        </w:rPr>
      </w:pPr>
    </w:p>
    <w:p w:rsidR="00AF5809" w:rsidRPr="002A1DA6" w:rsidRDefault="00AF5809" w:rsidP="008C02D3">
      <w:pPr>
        <w:tabs>
          <w:tab w:val="left" w:pos="9923"/>
        </w:tabs>
        <w:ind w:right="51"/>
        <w:rPr>
          <w:rFonts w:cs="Arial"/>
          <w:sz w:val="16"/>
          <w:szCs w:val="16"/>
        </w:rPr>
      </w:pPr>
      <w:r w:rsidRPr="002A1DA6">
        <w:rPr>
          <w:rFonts w:cs="Arial"/>
          <w:sz w:val="16"/>
          <w:szCs w:val="16"/>
        </w:rPr>
        <w:t>1.6.4.  Procedimiento a realizar en el fondo cesionario</w:t>
      </w:r>
    </w:p>
    <w:p w:rsidR="00AF5809" w:rsidRPr="002A1DA6" w:rsidRDefault="00AF5809" w:rsidP="008C02D3">
      <w:pPr>
        <w:tabs>
          <w:tab w:val="left" w:pos="9923"/>
        </w:tabs>
        <w:ind w:right="51"/>
        <w:rPr>
          <w:rFonts w:cs="Arial"/>
          <w:b/>
          <w:sz w:val="16"/>
          <w:szCs w:val="16"/>
        </w:rPr>
      </w:pPr>
    </w:p>
    <w:p w:rsidR="00AF5809" w:rsidRPr="002A1DA6" w:rsidRDefault="00AF5809" w:rsidP="008C02D3">
      <w:pPr>
        <w:tabs>
          <w:tab w:val="left" w:pos="9923"/>
        </w:tabs>
        <w:ind w:right="51"/>
        <w:rPr>
          <w:rFonts w:cs="Arial"/>
          <w:bCs/>
          <w:sz w:val="16"/>
          <w:szCs w:val="16"/>
        </w:rPr>
      </w:pPr>
      <w:r w:rsidRPr="002A1DA6">
        <w:rPr>
          <w:rFonts w:cs="Arial"/>
          <w:sz w:val="16"/>
          <w:szCs w:val="16"/>
        </w:rPr>
        <w:t xml:space="preserve">El día de la cesión, el fondo de cesantía cedido debe incorporarse al administrado por la sociedad cesionaria, la cual debe efectuar la reliquidación de todas las cuentas del fondo cedido, </w:t>
      </w:r>
      <w:r w:rsidRPr="002A1DA6">
        <w:rPr>
          <w:rFonts w:cs="Arial"/>
          <w:bCs/>
          <w:sz w:val="16"/>
          <w:szCs w:val="16"/>
        </w:rPr>
        <w:t>con base en el valor de las unidades de los portafolios del fondo de cesantías por ella administrado vigente para el día de la cesión.</w:t>
      </w:r>
    </w:p>
    <w:p w:rsidR="00AF5809" w:rsidRPr="002A1DA6" w:rsidRDefault="00AF5809" w:rsidP="008C02D3">
      <w:pPr>
        <w:tabs>
          <w:tab w:val="left" w:pos="9923"/>
        </w:tabs>
        <w:ind w:right="51"/>
        <w:rPr>
          <w:rFonts w:cs="Arial"/>
          <w:b/>
          <w:bCs/>
          <w:sz w:val="16"/>
          <w:szCs w:val="16"/>
        </w:rPr>
      </w:pPr>
    </w:p>
    <w:p w:rsidR="00AF5809" w:rsidRPr="002A1DA6" w:rsidRDefault="00AF5809" w:rsidP="008C02D3">
      <w:pPr>
        <w:tabs>
          <w:tab w:val="left" w:pos="9923"/>
        </w:tabs>
        <w:ind w:right="51"/>
        <w:rPr>
          <w:rFonts w:cs="Arial"/>
          <w:bCs/>
          <w:sz w:val="16"/>
          <w:szCs w:val="16"/>
        </w:rPr>
      </w:pPr>
      <w:r w:rsidRPr="002A1DA6">
        <w:rPr>
          <w:rFonts w:cs="Arial"/>
          <w:bCs/>
          <w:sz w:val="16"/>
          <w:szCs w:val="16"/>
        </w:rPr>
        <w:t>1.6.5. Información a la SFC</w:t>
      </w:r>
    </w:p>
    <w:p w:rsidR="00AF5809" w:rsidRPr="002A1DA6" w:rsidRDefault="00AF5809" w:rsidP="008C02D3">
      <w:pPr>
        <w:tabs>
          <w:tab w:val="left" w:pos="9923"/>
        </w:tabs>
        <w:ind w:right="51"/>
        <w:rPr>
          <w:rFonts w:cs="Arial"/>
          <w:bCs/>
          <w:sz w:val="16"/>
          <w:szCs w:val="16"/>
        </w:rPr>
      </w:pPr>
    </w:p>
    <w:p w:rsidR="00AF5809" w:rsidRPr="002A1DA6" w:rsidRDefault="005E4F80" w:rsidP="008C02D3">
      <w:pPr>
        <w:tabs>
          <w:tab w:val="left" w:pos="9923"/>
        </w:tabs>
        <w:ind w:right="51"/>
        <w:rPr>
          <w:rFonts w:cs="Arial"/>
          <w:bCs/>
          <w:sz w:val="16"/>
          <w:szCs w:val="16"/>
        </w:rPr>
      </w:pPr>
      <w:r w:rsidRPr="002A1DA6">
        <w:rPr>
          <w:rFonts w:cs="Arial"/>
          <w:bCs/>
          <w:sz w:val="16"/>
          <w:szCs w:val="16"/>
        </w:rPr>
        <w:t>Copia de tod</w:t>
      </w:r>
      <w:r>
        <w:rPr>
          <w:rFonts w:cs="Arial"/>
          <w:bCs/>
          <w:sz w:val="16"/>
          <w:szCs w:val="16"/>
        </w:rPr>
        <w:t>os los documentos en que conste</w:t>
      </w:r>
      <w:r w:rsidRPr="002A1DA6">
        <w:rPr>
          <w:rFonts w:cs="Arial"/>
          <w:bCs/>
          <w:sz w:val="16"/>
          <w:szCs w:val="16"/>
        </w:rPr>
        <w:t xml:space="preserve"> la cesión y los términos en que ésta se ha pactado deben remitirse a la SFC, dentro de los 2 días hábiles siguientes a la fecha en que ella se produzca. </w:t>
      </w:r>
    </w:p>
    <w:p w:rsidR="00AF5809" w:rsidRPr="002A1DA6" w:rsidRDefault="00AF5809" w:rsidP="008C02D3">
      <w:pPr>
        <w:tabs>
          <w:tab w:val="left" w:pos="9923"/>
        </w:tabs>
        <w:ind w:right="51"/>
        <w:rPr>
          <w:rFonts w:cs="Arial"/>
          <w:bCs/>
          <w:sz w:val="16"/>
          <w:szCs w:val="16"/>
        </w:rPr>
      </w:pPr>
    </w:p>
    <w:p w:rsidR="00AF5809" w:rsidRPr="002A1DA6" w:rsidRDefault="00AF5809" w:rsidP="008C02D3">
      <w:pPr>
        <w:pStyle w:val="Ttulo2"/>
        <w:tabs>
          <w:tab w:val="left" w:pos="9923"/>
        </w:tabs>
        <w:spacing w:before="0" w:after="0"/>
        <w:ind w:right="51"/>
        <w:rPr>
          <w:rFonts w:cs="Arial"/>
          <w:sz w:val="16"/>
          <w:szCs w:val="16"/>
        </w:rPr>
      </w:pPr>
      <w:bookmarkStart w:id="8" w:name="_Toc264009219"/>
      <w:r w:rsidRPr="002A1DA6">
        <w:rPr>
          <w:rFonts w:cs="Arial"/>
          <w:sz w:val="16"/>
          <w:szCs w:val="16"/>
        </w:rPr>
        <w:t>1.7. Índice representativo del mercado accionario del exterior</w:t>
      </w:r>
      <w:bookmarkEnd w:id="8"/>
    </w:p>
    <w:p w:rsidR="00AF5809" w:rsidRPr="002A1DA6" w:rsidRDefault="00AF5809" w:rsidP="008C02D3">
      <w:pPr>
        <w:tabs>
          <w:tab w:val="left" w:pos="9923"/>
        </w:tabs>
        <w:ind w:right="51"/>
        <w:rPr>
          <w:rFonts w:cs="Arial"/>
          <w:bCs/>
          <w:sz w:val="16"/>
          <w:szCs w:val="16"/>
        </w:rPr>
      </w:pPr>
    </w:p>
    <w:p w:rsidR="00AF5809" w:rsidRPr="002A1DA6" w:rsidRDefault="00AF5809" w:rsidP="008C02D3">
      <w:pPr>
        <w:tabs>
          <w:tab w:val="left" w:pos="9923"/>
        </w:tabs>
        <w:ind w:right="51"/>
        <w:rPr>
          <w:rFonts w:cs="Arial"/>
          <w:bCs/>
          <w:sz w:val="16"/>
          <w:szCs w:val="16"/>
        </w:rPr>
      </w:pPr>
      <w:r w:rsidRPr="002A1DA6">
        <w:rPr>
          <w:rFonts w:cs="Arial"/>
          <w:bCs/>
          <w:sz w:val="16"/>
          <w:szCs w:val="16"/>
        </w:rPr>
        <w:t>Para efectos de lo dispuesto en el numeral ii), literal b), del art. 2.6.9.1.2 del Decreto 2555 de 2010, el índice representativo del mercado accionario del exterior que se debe tomar en cuenta para el cálculo de la rentabilidad mínima de los fondos de cesantías es el índice Standard &amp; Poor’s 500.</w:t>
      </w:r>
    </w:p>
    <w:p w:rsidR="00AF5809" w:rsidRPr="002A1DA6" w:rsidRDefault="00AF5809" w:rsidP="008C02D3">
      <w:pPr>
        <w:ind w:right="335"/>
        <w:rPr>
          <w:rFonts w:cs="Arial"/>
          <w:bCs/>
          <w:sz w:val="16"/>
          <w:szCs w:val="16"/>
        </w:rPr>
      </w:pPr>
    </w:p>
    <w:p w:rsidR="00AF5809" w:rsidRPr="002A1DA6" w:rsidRDefault="00AF5809" w:rsidP="00E92E8D">
      <w:pPr>
        <w:pStyle w:val="Ttulo2"/>
        <w:tabs>
          <w:tab w:val="left" w:pos="9923"/>
        </w:tabs>
        <w:spacing w:before="0" w:after="0"/>
        <w:rPr>
          <w:rFonts w:cs="Arial"/>
          <w:iCs/>
          <w:kern w:val="16"/>
          <w:sz w:val="16"/>
          <w:szCs w:val="16"/>
        </w:rPr>
      </w:pPr>
      <w:bookmarkStart w:id="9" w:name="_Toc264009220"/>
      <w:r w:rsidRPr="002A1DA6">
        <w:rPr>
          <w:rFonts w:cs="Arial"/>
          <w:iCs/>
          <w:kern w:val="16"/>
          <w:sz w:val="16"/>
          <w:szCs w:val="16"/>
        </w:rPr>
        <w:t>1.8. Información sobre los derechos y obligaciones de los afiliados y efectos de la selección o modificación de perfil de administración</w:t>
      </w:r>
      <w:bookmarkEnd w:id="9"/>
    </w:p>
    <w:p w:rsidR="00AF5809" w:rsidRPr="002A1DA6" w:rsidRDefault="00AF5809" w:rsidP="00E92E8D">
      <w:pPr>
        <w:rPr>
          <w:rFonts w:cs="Arial"/>
          <w:bCs/>
          <w:kern w:val="16"/>
          <w:sz w:val="16"/>
          <w:szCs w:val="16"/>
        </w:rPr>
      </w:pPr>
    </w:p>
    <w:p w:rsidR="00AF5809" w:rsidRPr="002A1DA6" w:rsidRDefault="00AF5809" w:rsidP="00C851DB">
      <w:pPr>
        <w:tabs>
          <w:tab w:val="left" w:pos="9639"/>
        </w:tabs>
        <w:rPr>
          <w:rFonts w:cs="Arial"/>
          <w:bCs/>
          <w:kern w:val="16"/>
          <w:sz w:val="16"/>
          <w:szCs w:val="16"/>
        </w:rPr>
      </w:pPr>
      <w:r w:rsidRPr="002A1DA6">
        <w:rPr>
          <w:rFonts w:cs="Arial"/>
          <w:bCs/>
          <w:kern w:val="16"/>
          <w:sz w:val="16"/>
          <w:szCs w:val="16"/>
        </w:rPr>
        <w:t>El reglamento del fondo de cesantías administrado, en el cual se incluye la información completa de los derechos y obligaciones de los afiliados, debe estar a disposición de los mismos para consulta permanente a través de la página de Internet de la respectiva sociedad administradora. En todo caso, las sociedades administradoras deben suministrar de manera física o electrónica el referido reglamento a los afiliados que expresamente lo soliciten, dentro de los 3 días hábiles siguientes a tal requerimiento.</w:t>
      </w:r>
    </w:p>
    <w:p w:rsidR="00AF5809" w:rsidRPr="002A1DA6" w:rsidRDefault="00AF5809" w:rsidP="003548EB">
      <w:pPr>
        <w:tabs>
          <w:tab w:val="left" w:pos="9639"/>
        </w:tabs>
        <w:rPr>
          <w:rFonts w:cs="Arial"/>
          <w:bCs/>
          <w:kern w:val="16"/>
          <w:sz w:val="16"/>
          <w:szCs w:val="16"/>
        </w:rPr>
      </w:pPr>
    </w:p>
    <w:p w:rsidR="00AF5809" w:rsidRPr="002A1DA6" w:rsidRDefault="00AF5809" w:rsidP="00733AF8">
      <w:pPr>
        <w:tabs>
          <w:tab w:val="left" w:pos="9639"/>
        </w:tabs>
        <w:rPr>
          <w:rFonts w:cs="Arial"/>
          <w:bCs/>
          <w:kern w:val="16"/>
          <w:sz w:val="16"/>
          <w:szCs w:val="16"/>
        </w:rPr>
      </w:pPr>
      <w:r w:rsidRPr="002A1DA6">
        <w:rPr>
          <w:rFonts w:cs="Arial"/>
          <w:bCs/>
          <w:kern w:val="16"/>
          <w:sz w:val="16"/>
          <w:szCs w:val="16"/>
        </w:rPr>
        <w:t xml:space="preserve">Así mismo, deben publicar por lo menos una vez al año, en el mes de enero, en un diario de amplia circulación nacional, información general sobre los derechos y obligaciones de los afiliados al fondo y los efectos que se derivan de la selección entre los diferentes portafolios de inversión de los aportes y/o recursos de los fondos de cesantía. Especialmente se debe informar a los afiliados que tanto en el portafolio de corto plazo como en el de largo plazo es posible que se produzcan pérdidas en el capital o en los rendimientos. Debe señalarse que el portafolio de corto plazo está orientado a los afiliados que tienen proyectado retirar sus cesantías en el corto plazo y por tanto, el objetivo en su administración es mitigar el riesgo de pérdida en los retiros a efectuar en el corto plazo mediante inversiones en las que se tiene un perfil de menor riesgo con una expectativa de menor rentabilidad que la de un portafolio de largo plazo; en tanto que el portafolio de largo plazo está orientado a los afiliados que no tienen proyectado retirar sus cesantías en el corto plazo y por tal razón, está constituido por inversiones de mayor plazo, con un perfil de mayor riesgo y expectativa de mayor rentabilidad. </w:t>
      </w:r>
    </w:p>
    <w:p w:rsidR="00AF5809" w:rsidRPr="002A1DA6" w:rsidRDefault="00AF5809" w:rsidP="00E92E8D">
      <w:pPr>
        <w:tabs>
          <w:tab w:val="left" w:pos="9639"/>
        </w:tabs>
        <w:rPr>
          <w:rFonts w:cs="Arial"/>
          <w:bCs/>
          <w:kern w:val="16"/>
          <w:sz w:val="16"/>
          <w:szCs w:val="16"/>
        </w:rPr>
      </w:pPr>
    </w:p>
    <w:p w:rsidR="00AF5809" w:rsidRPr="002A1DA6" w:rsidRDefault="00AF5809" w:rsidP="00E92E8D">
      <w:pPr>
        <w:tabs>
          <w:tab w:val="left" w:pos="9639"/>
        </w:tabs>
        <w:rPr>
          <w:rFonts w:cs="Arial"/>
          <w:bCs/>
          <w:kern w:val="16"/>
          <w:sz w:val="16"/>
          <w:szCs w:val="16"/>
        </w:rPr>
      </w:pPr>
      <w:r w:rsidRPr="002A1DA6">
        <w:rPr>
          <w:rFonts w:cs="Arial"/>
          <w:bCs/>
          <w:kern w:val="16"/>
          <w:sz w:val="16"/>
          <w:szCs w:val="16"/>
        </w:rPr>
        <w:t>La mencionada publicación tiene por finalidad ofrecer a los afiliados mayores elementos de juicio para que puedan adoptar decisiones informadas sobre la forma más adecuada de invertir sus aportes y/o recursos. La publicación puede realizarse individualmente por cada administradora o a través de la entidad que las agremie.</w:t>
      </w:r>
    </w:p>
    <w:p w:rsidR="00AF5809" w:rsidRPr="002A1DA6" w:rsidRDefault="00AF5809" w:rsidP="00E92E8D">
      <w:pPr>
        <w:tabs>
          <w:tab w:val="left" w:pos="9639"/>
        </w:tabs>
        <w:rPr>
          <w:rFonts w:cs="Arial"/>
          <w:bCs/>
          <w:kern w:val="16"/>
          <w:sz w:val="16"/>
          <w:szCs w:val="16"/>
        </w:rPr>
      </w:pPr>
    </w:p>
    <w:p w:rsidR="00AF5809" w:rsidRPr="002A1DA6" w:rsidRDefault="00AF5809" w:rsidP="00E92E8D">
      <w:pPr>
        <w:tabs>
          <w:tab w:val="left" w:pos="9639"/>
        </w:tabs>
        <w:rPr>
          <w:rFonts w:cs="Arial"/>
          <w:bCs/>
          <w:kern w:val="16"/>
          <w:sz w:val="16"/>
          <w:szCs w:val="16"/>
        </w:rPr>
      </w:pPr>
      <w:r w:rsidRPr="002A1DA6">
        <w:rPr>
          <w:rFonts w:cs="Arial"/>
          <w:bCs/>
          <w:kern w:val="16"/>
          <w:sz w:val="16"/>
          <w:szCs w:val="16"/>
        </w:rPr>
        <w:t>Además de la publicación de avisos en diarios de amplia circulación nacional y la remisión de extractos, se consideran válidas las informaciones que sobre los aspectos mencionados se entreguen a los afiliados por cualquier medio o que se incluyan en las páginas de Internet de las administradoras.</w:t>
      </w:r>
    </w:p>
    <w:p w:rsidR="00AF5809" w:rsidRPr="002A1DA6" w:rsidRDefault="00AF5809" w:rsidP="00E92E8D">
      <w:pPr>
        <w:rPr>
          <w:rFonts w:cs="Arial"/>
          <w:bCs/>
          <w:kern w:val="16"/>
          <w:sz w:val="16"/>
          <w:szCs w:val="16"/>
        </w:rPr>
      </w:pPr>
    </w:p>
    <w:p w:rsidR="00AF5809" w:rsidRPr="002A1DA6" w:rsidRDefault="00AF5809" w:rsidP="008C02D3">
      <w:pPr>
        <w:pStyle w:val="Ttulo2"/>
        <w:spacing w:before="0" w:after="0"/>
        <w:rPr>
          <w:rFonts w:cs="Arial"/>
          <w:sz w:val="16"/>
          <w:szCs w:val="16"/>
        </w:rPr>
      </w:pPr>
      <w:bookmarkStart w:id="10" w:name="_Toc264009221"/>
      <w:r w:rsidRPr="002A1DA6">
        <w:rPr>
          <w:rFonts w:cs="Arial"/>
          <w:sz w:val="16"/>
          <w:szCs w:val="16"/>
        </w:rPr>
        <w:t>1.9. Definición o modificación del perfil de administración de aportes y/o recursos a los fondos de cesantías</w:t>
      </w:r>
      <w:bookmarkEnd w:id="10"/>
    </w:p>
    <w:p w:rsidR="00AF5809" w:rsidRPr="002A1DA6" w:rsidRDefault="00AF5809" w:rsidP="008C02D3">
      <w:pPr>
        <w:ind w:right="335"/>
        <w:rPr>
          <w:rFonts w:cs="Arial"/>
          <w:bCs/>
          <w:sz w:val="16"/>
          <w:szCs w:val="16"/>
        </w:rPr>
      </w:pPr>
    </w:p>
    <w:p w:rsidR="00AF5809" w:rsidRPr="002A1DA6" w:rsidRDefault="00AF5809" w:rsidP="008C02D3">
      <w:pPr>
        <w:tabs>
          <w:tab w:val="left" w:pos="9639"/>
        </w:tabs>
        <w:rPr>
          <w:rFonts w:cs="Arial"/>
          <w:bCs/>
          <w:sz w:val="16"/>
          <w:szCs w:val="16"/>
        </w:rPr>
      </w:pPr>
      <w:r w:rsidRPr="002A1DA6">
        <w:rPr>
          <w:rFonts w:cs="Arial"/>
          <w:bCs/>
          <w:sz w:val="16"/>
          <w:szCs w:val="16"/>
        </w:rPr>
        <w:t>Las administradoras de los fondos de cesantías deben poner a disposición de sus afiliados medios verificables a través de los cuales definan y modifiquen el perfil de administración de los aportes y/o recursos en los fondos de cesantías entre los portafolios de corto plazo y largo plazo, ya sea por medio de formatos impresos en los que conste la firma y aceptación del afiliado o a través del canal de distribución de servicios financieros de Internet.</w:t>
      </w:r>
      <w:r w:rsidR="001C5C2B" w:rsidRPr="002A1DA6">
        <w:rPr>
          <w:rFonts w:cs="Arial"/>
          <w:bCs/>
          <w:sz w:val="16"/>
          <w:szCs w:val="16"/>
        </w:rPr>
        <w:t xml:space="preserve"> En cualquier caso, las administradoras </w:t>
      </w:r>
      <w:r w:rsidR="001C5C2B" w:rsidRPr="002A1DA6">
        <w:rPr>
          <w:rFonts w:cs="Arial"/>
          <w:color w:val="000000"/>
          <w:sz w:val="16"/>
          <w:szCs w:val="16"/>
        </w:rPr>
        <w:t>deben atender lo dispuesto en el Anexo 2 del presente Capítulo en el que se presenta la proforma B.6000-16 “Proforma de Definición o Modificación del Perfil de Administración de aportes a los Fondos de Cesantías” con su respectivo instructivo.</w:t>
      </w:r>
    </w:p>
    <w:p w:rsidR="00AF5809" w:rsidRPr="002A1DA6" w:rsidRDefault="00AF5809" w:rsidP="008C02D3">
      <w:pPr>
        <w:tabs>
          <w:tab w:val="left" w:pos="9639"/>
        </w:tabs>
        <w:rPr>
          <w:rFonts w:cs="Arial"/>
          <w:bCs/>
          <w:sz w:val="16"/>
          <w:szCs w:val="16"/>
        </w:rPr>
      </w:pPr>
    </w:p>
    <w:p w:rsidR="00AF5809" w:rsidRPr="002A1DA6" w:rsidRDefault="00AF5809" w:rsidP="008C02D3">
      <w:pPr>
        <w:tabs>
          <w:tab w:val="left" w:pos="9639"/>
        </w:tabs>
        <w:rPr>
          <w:rFonts w:cs="Arial"/>
          <w:bCs/>
          <w:sz w:val="16"/>
          <w:szCs w:val="16"/>
        </w:rPr>
      </w:pPr>
      <w:r w:rsidRPr="002A1DA6">
        <w:rPr>
          <w:rFonts w:cs="Arial"/>
          <w:bCs/>
          <w:sz w:val="16"/>
          <w:szCs w:val="16"/>
        </w:rPr>
        <w:t>Para efectos de la utilización del canal de servicios de Internet, es necesario que la respectiva administradora obtenga la no objeción previa de la SFC, para lo cual debe:</w:t>
      </w:r>
    </w:p>
    <w:p w:rsidR="00AF5809" w:rsidRPr="002A1DA6" w:rsidRDefault="00AF5809" w:rsidP="008C02D3">
      <w:pPr>
        <w:tabs>
          <w:tab w:val="left" w:pos="9639"/>
        </w:tabs>
        <w:rPr>
          <w:rFonts w:cs="Arial"/>
          <w:bCs/>
          <w:sz w:val="16"/>
          <w:szCs w:val="16"/>
        </w:rPr>
      </w:pPr>
    </w:p>
    <w:p w:rsidR="00AF5809" w:rsidRPr="002A1DA6" w:rsidRDefault="00AF5809" w:rsidP="008C02D3">
      <w:pPr>
        <w:tabs>
          <w:tab w:val="left" w:pos="9639"/>
        </w:tabs>
        <w:rPr>
          <w:rFonts w:cs="Arial"/>
          <w:bCs/>
          <w:sz w:val="16"/>
          <w:szCs w:val="16"/>
        </w:rPr>
      </w:pPr>
      <w:r w:rsidRPr="002A1DA6">
        <w:rPr>
          <w:rFonts w:cs="Arial"/>
          <w:bCs/>
          <w:sz w:val="16"/>
          <w:szCs w:val="16"/>
        </w:rPr>
        <w:t>1.9.1. Establecer los criterios de segmentación de sus afiliados con el propósito de determinar a cuáles de ellos les permite el uso de dicho canal para la selección del perfil de administración de los recursos de cesantías.</w:t>
      </w:r>
    </w:p>
    <w:p w:rsidR="00AF5809" w:rsidRPr="002A1DA6" w:rsidRDefault="00AF5809" w:rsidP="008C02D3">
      <w:pPr>
        <w:tabs>
          <w:tab w:val="left" w:pos="9639"/>
        </w:tabs>
        <w:rPr>
          <w:rFonts w:cs="Arial"/>
          <w:bCs/>
          <w:sz w:val="16"/>
          <w:szCs w:val="16"/>
        </w:rPr>
      </w:pPr>
    </w:p>
    <w:p w:rsidR="00AF5809" w:rsidRPr="002A1DA6" w:rsidRDefault="00AF5809" w:rsidP="008C02D3">
      <w:pPr>
        <w:tabs>
          <w:tab w:val="left" w:pos="9639"/>
        </w:tabs>
        <w:rPr>
          <w:rFonts w:cs="Arial"/>
          <w:b/>
          <w:sz w:val="16"/>
          <w:szCs w:val="16"/>
        </w:rPr>
      </w:pPr>
      <w:r w:rsidRPr="002A1DA6">
        <w:rPr>
          <w:rFonts w:cs="Arial"/>
          <w:bCs/>
          <w:sz w:val="16"/>
          <w:szCs w:val="16"/>
        </w:rPr>
        <w:t>1.9.2. Contar, a través del canal de servicios de Internet, con un sistema de información que explique de manera amplia y suficiente a los afiliados las características de los portafolios de corto y largo plazo elegibles, los efectos de la selección o modificación del perfil de administración y los tiempos para el traslado de recursos entre uno y otro portafolio. Así mismo, debe advertir a los afiliados acerca de la importancia de haber entendido la información suministrada y que en caso de dudas deben acceder a los medios que disponga la administradora para su aclaración.</w:t>
      </w:r>
    </w:p>
    <w:p w:rsidR="00AF5809" w:rsidRPr="002A1DA6" w:rsidRDefault="00AF5809" w:rsidP="008C02D3">
      <w:pPr>
        <w:tabs>
          <w:tab w:val="left" w:pos="9639"/>
        </w:tabs>
        <w:ind w:right="-42"/>
        <w:rPr>
          <w:rFonts w:cs="Arial"/>
          <w:color w:val="000000"/>
          <w:sz w:val="16"/>
          <w:szCs w:val="16"/>
        </w:rPr>
      </w:pPr>
    </w:p>
    <w:p w:rsidR="00AF5809" w:rsidRPr="002A1DA6" w:rsidRDefault="00AF5809" w:rsidP="008C02D3">
      <w:pPr>
        <w:ind w:right="51"/>
        <w:rPr>
          <w:rFonts w:cs="Arial"/>
          <w:color w:val="000000"/>
          <w:sz w:val="16"/>
          <w:szCs w:val="16"/>
        </w:rPr>
      </w:pPr>
      <w:r w:rsidRPr="002A1DA6">
        <w:rPr>
          <w:rFonts w:cs="Arial"/>
          <w:color w:val="000000"/>
          <w:sz w:val="16"/>
          <w:szCs w:val="16"/>
        </w:rPr>
        <w:t>Dicho sistema debe asegurar que la información se suministre de manera previa y obligatoria a la selección o modificación del perfil y dejar evidencia de su aceptación por parte del afiliado.</w:t>
      </w:r>
      <w:r w:rsidR="001C5C2B" w:rsidRPr="002A1DA6">
        <w:rPr>
          <w:rFonts w:cs="Arial"/>
          <w:color w:val="000000"/>
          <w:sz w:val="16"/>
          <w:szCs w:val="16"/>
        </w:rPr>
        <w:t xml:space="preserve"> </w:t>
      </w:r>
    </w:p>
    <w:p w:rsidR="00AF5809" w:rsidRPr="002A1DA6" w:rsidRDefault="00AF5809" w:rsidP="008C02D3">
      <w:pPr>
        <w:ind w:right="-42"/>
        <w:rPr>
          <w:rFonts w:cs="Arial"/>
          <w:color w:val="000000"/>
          <w:sz w:val="16"/>
          <w:szCs w:val="16"/>
        </w:rPr>
      </w:pPr>
    </w:p>
    <w:p w:rsidR="00AF5809" w:rsidRPr="002A1DA6" w:rsidRDefault="00AF5809" w:rsidP="008C02D3">
      <w:pPr>
        <w:ind w:right="-42"/>
        <w:rPr>
          <w:rFonts w:cs="Arial"/>
          <w:color w:val="000000"/>
          <w:sz w:val="16"/>
          <w:szCs w:val="16"/>
        </w:rPr>
      </w:pPr>
      <w:r w:rsidRPr="002A1DA6">
        <w:rPr>
          <w:rFonts w:cs="Arial"/>
          <w:color w:val="000000"/>
          <w:sz w:val="16"/>
          <w:szCs w:val="16"/>
        </w:rPr>
        <w:t xml:space="preserve">Acreditar que el canal de servicios de Internet cuenta con los mecanismos y las medidas de seguridad necesarios para establecer en todo momento que es el afiliado quien manifiesta de manera expresa y libre su selección de perfil de administración. </w:t>
      </w:r>
    </w:p>
    <w:p w:rsidR="00AF5809" w:rsidRPr="002A1DA6" w:rsidRDefault="00AF5809" w:rsidP="008C02D3">
      <w:pPr>
        <w:ind w:right="-42"/>
        <w:rPr>
          <w:rFonts w:cs="Arial"/>
          <w:color w:val="000000"/>
          <w:sz w:val="16"/>
          <w:szCs w:val="16"/>
        </w:rPr>
      </w:pPr>
    </w:p>
    <w:p w:rsidR="00AF5809" w:rsidRPr="002A1DA6" w:rsidRDefault="00AF5809" w:rsidP="008C02D3">
      <w:pPr>
        <w:rPr>
          <w:rFonts w:cs="Arial"/>
          <w:color w:val="000000"/>
          <w:sz w:val="16"/>
          <w:szCs w:val="16"/>
        </w:rPr>
      </w:pPr>
      <w:r w:rsidRPr="002A1DA6">
        <w:rPr>
          <w:rFonts w:cs="Arial"/>
          <w:color w:val="000000"/>
          <w:sz w:val="16"/>
          <w:szCs w:val="16"/>
        </w:rPr>
        <w:t>Establecer mecanismos que le permitan informar a los afiliados la selección efectuada, dentro de los 5 días hábiles siguientes a la decisión.</w:t>
      </w:r>
    </w:p>
    <w:p w:rsidR="00AF5809" w:rsidRPr="002A1DA6" w:rsidRDefault="00AF5809" w:rsidP="00EE201D">
      <w:pPr>
        <w:pStyle w:val="Ttulo2"/>
        <w:rPr>
          <w:rFonts w:cs="Arial"/>
          <w:sz w:val="16"/>
          <w:szCs w:val="16"/>
          <w:lang w:val="es-ES"/>
        </w:rPr>
      </w:pPr>
      <w:bookmarkStart w:id="11" w:name="_Toc264009222"/>
      <w:r w:rsidRPr="002A1DA6">
        <w:rPr>
          <w:rFonts w:cs="Arial"/>
          <w:color w:val="000000"/>
          <w:sz w:val="16"/>
          <w:szCs w:val="16"/>
        </w:rPr>
        <w:t xml:space="preserve">1.10. </w:t>
      </w:r>
      <w:r w:rsidRPr="002A1DA6">
        <w:rPr>
          <w:rFonts w:cs="Arial"/>
          <w:sz w:val="16"/>
          <w:szCs w:val="16"/>
          <w:lang w:val="es-ES"/>
        </w:rPr>
        <w:t>Criterios metodológicos para la conformación del componente de referencia a tener en cuenta en el cálculo de la rentabilidad mínima obligatoria</w:t>
      </w:r>
      <w:bookmarkEnd w:id="11"/>
      <w:r w:rsidRPr="002A1DA6">
        <w:rPr>
          <w:rFonts w:cs="Arial"/>
          <w:sz w:val="16"/>
          <w:szCs w:val="16"/>
          <w:lang w:val="es-ES"/>
        </w:rPr>
        <w:t xml:space="preserve"> de los portafolios de cesantías</w:t>
      </w:r>
    </w:p>
    <w:p w:rsidR="00AF5809" w:rsidRPr="002A1DA6" w:rsidRDefault="00AF5809" w:rsidP="00EE201D">
      <w:pPr>
        <w:rPr>
          <w:rFonts w:cs="Arial"/>
          <w:sz w:val="16"/>
          <w:szCs w:val="16"/>
        </w:rPr>
      </w:pPr>
    </w:p>
    <w:p w:rsidR="00AF5809" w:rsidRPr="002A1DA6" w:rsidRDefault="00AF5809" w:rsidP="004453BE">
      <w:pPr>
        <w:rPr>
          <w:rFonts w:cs="Arial"/>
          <w:sz w:val="16"/>
          <w:szCs w:val="16"/>
        </w:rPr>
      </w:pPr>
      <w:r w:rsidRPr="002A1DA6">
        <w:rPr>
          <w:rFonts w:cs="Arial"/>
          <w:sz w:val="16"/>
          <w:szCs w:val="16"/>
        </w:rPr>
        <w:t>1.10.1. Rentabilidad mínima obligatoria para el portafolio de corto plazo</w:t>
      </w:r>
    </w:p>
    <w:p w:rsidR="00AF5809" w:rsidRPr="002A1DA6" w:rsidRDefault="00AF5809" w:rsidP="004453BE">
      <w:pPr>
        <w:rPr>
          <w:rFonts w:cs="Arial"/>
          <w:sz w:val="16"/>
          <w:szCs w:val="16"/>
        </w:rPr>
      </w:pPr>
    </w:p>
    <w:p w:rsidR="00AF5809" w:rsidRPr="002A1DA6" w:rsidRDefault="00AF5809" w:rsidP="004453BE">
      <w:pPr>
        <w:rPr>
          <w:rFonts w:cs="Arial"/>
          <w:sz w:val="16"/>
          <w:szCs w:val="16"/>
        </w:rPr>
      </w:pPr>
      <w:r w:rsidRPr="002A1DA6">
        <w:rPr>
          <w:rFonts w:cs="Arial"/>
          <w:sz w:val="16"/>
          <w:szCs w:val="16"/>
        </w:rPr>
        <w:t>De conformidad con el art. 2.6.9.1.1 del Decreto 2555 de 2010, la rentabilidad mínima obligatoria para el portafolio de corto plazo de los fondos de cesantía corresponde a la rentabilidad acumulada efectiva anual disminuida en un 25%, arrojada para el período de cálculo correspondiente de un indicador de referencia de corto plazo neto de comisión de administración.</w:t>
      </w:r>
    </w:p>
    <w:p w:rsidR="00AF5809" w:rsidRPr="002A1DA6" w:rsidRDefault="00AF5809" w:rsidP="004453BE">
      <w:pPr>
        <w:rPr>
          <w:rFonts w:cs="Arial"/>
          <w:sz w:val="16"/>
          <w:szCs w:val="16"/>
        </w:rPr>
      </w:pPr>
    </w:p>
    <w:p w:rsidR="00AF5809" w:rsidRPr="002A1DA6" w:rsidRDefault="00AF5809" w:rsidP="004453BE">
      <w:pPr>
        <w:rPr>
          <w:rFonts w:cs="Arial"/>
          <w:sz w:val="16"/>
          <w:szCs w:val="16"/>
        </w:rPr>
      </w:pPr>
      <w:r w:rsidRPr="002A1DA6">
        <w:rPr>
          <w:rFonts w:cs="Arial"/>
          <w:sz w:val="16"/>
          <w:szCs w:val="16"/>
        </w:rPr>
        <w:t xml:space="preserve">Para tal efecto, la SFC calcula la rentabilidad de un indicador de referencia construido con base en el precio de mercado de un título sintético basado en </w:t>
      </w:r>
      <w:r w:rsidR="00613435" w:rsidRPr="002A1DA6">
        <w:rPr>
          <w:rFonts w:cs="Arial"/>
          <w:sz w:val="16"/>
          <w:szCs w:val="16"/>
        </w:rPr>
        <w:t>títulos</w:t>
      </w:r>
      <w:r w:rsidRPr="002A1DA6">
        <w:rPr>
          <w:rFonts w:cs="Arial"/>
          <w:sz w:val="16"/>
          <w:szCs w:val="16"/>
        </w:rPr>
        <w:t xml:space="preserve"> de tesorería TES con plazo inicial al vencimiento igual a 90 </w:t>
      </w:r>
      <w:r w:rsidR="00613435" w:rsidRPr="002A1DA6">
        <w:rPr>
          <w:rFonts w:cs="Arial"/>
          <w:sz w:val="16"/>
          <w:szCs w:val="16"/>
        </w:rPr>
        <w:t>días</w:t>
      </w:r>
      <w:r w:rsidRPr="002A1DA6">
        <w:rPr>
          <w:rFonts w:cs="Arial"/>
          <w:sz w:val="16"/>
          <w:szCs w:val="16"/>
        </w:rPr>
        <w:t xml:space="preserve"> y una tasa igual a la tasa cero cupón en pesos para 90 días. </w:t>
      </w:r>
    </w:p>
    <w:p w:rsidR="00AF5809" w:rsidRPr="002A1DA6" w:rsidRDefault="00AF5809" w:rsidP="004453BE">
      <w:pPr>
        <w:rPr>
          <w:rFonts w:cs="Arial"/>
          <w:sz w:val="16"/>
          <w:szCs w:val="16"/>
        </w:rPr>
      </w:pPr>
    </w:p>
    <w:p w:rsidR="00AF5809" w:rsidRPr="002A1DA6" w:rsidRDefault="00AF5809" w:rsidP="004453BE">
      <w:pPr>
        <w:rPr>
          <w:rFonts w:cs="Arial"/>
          <w:sz w:val="16"/>
          <w:szCs w:val="16"/>
        </w:rPr>
      </w:pPr>
      <w:r w:rsidRPr="002A1DA6">
        <w:rPr>
          <w:rFonts w:cs="Arial"/>
          <w:sz w:val="16"/>
          <w:szCs w:val="16"/>
        </w:rPr>
        <w:t>El valor del indicador de referencia aquí mencionado se calcula con la fórmula y en los términos contenidos en el mencionado art. 2.6.9.1.1. del Decreto 2555 de 2010, siendo divulgado mensualmente de acuerdo con el art. 2.6.9.1.7 del Decreto 2555 de 2010.</w:t>
      </w:r>
    </w:p>
    <w:p w:rsidR="00AF5809" w:rsidRPr="002A1DA6" w:rsidRDefault="00AF5809" w:rsidP="004453BE">
      <w:pPr>
        <w:rPr>
          <w:rFonts w:cs="Arial"/>
          <w:sz w:val="16"/>
          <w:szCs w:val="16"/>
        </w:rPr>
      </w:pPr>
    </w:p>
    <w:p w:rsidR="00AF5809" w:rsidRPr="002A1DA6" w:rsidRDefault="00AF5809" w:rsidP="00AB1BC3">
      <w:pPr>
        <w:rPr>
          <w:rFonts w:cs="Arial"/>
          <w:sz w:val="16"/>
          <w:szCs w:val="16"/>
        </w:rPr>
      </w:pPr>
      <w:r w:rsidRPr="002A1DA6">
        <w:rPr>
          <w:rFonts w:cs="Arial"/>
          <w:sz w:val="16"/>
          <w:szCs w:val="16"/>
        </w:rPr>
        <w:t>1.10.2. Rentabilidad mínima obligatoria para el portafolio de largo plazo</w:t>
      </w:r>
    </w:p>
    <w:p w:rsidR="00AF5809" w:rsidRPr="002A1DA6" w:rsidRDefault="00AF5809" w:rsidP="00AB1BC3">
      <w:pPr>
        <w:rPr>
          <w:rFonts w:cs="Arial"/>
          <w:sz w:val="16"/>
          <w:szCs w:val="16"/>
        </w:rPr>
      </w:pPr>
    </w:p>
    <w:p w:rsidR="00AF5809" w:rsidRPr="002A1DA6" w:rsidRDefault="00AF5809" w:rsidP="004453BE">
      <w:pPr>
        <w:rPr>
          <w:rFonts w:cs="Arial"/>
          <w:sz w:val="16"/>
          <w:szCs w:val="16"/>
          <w:lang w:val="es-MX"/>
        </w:rPr>
      </w:pPr>
      <w:r w:rsidRPr="002A1DA6">
        <w:rPr>
          <w:rFonts w:cs="Arial"/>
          <w:sz w:val="16"/>
          <w:szCs w:val="16"/>
        </w:rPr>
        <w:t xml:space="preserve">El art. 2.6.9.1.2 del Decreto 2555 de 2010 al definir la forma de determinar la rentabilidad mínima del portafolio de largo plazo establece que la misma será la que resulte inferior entre los promedios señalados en los numerales 1 y 2 de ese artículo. El primero de ellos, contempla como uno de sus elementos el promedio ponderado de la rentabilidad acumulada </w:t>
      </w:r>
      <w:r w:rsidRPr="002A1DA6">
        <w:rPr>
          <w:rFonts w:cs="Arial"/>
          <w:sz w:val="16"/>
          <w:szCs w:val="16"/>
        </w:rPr>
        <w:lastRenderedPageBreak/>
        <w:t xml:space="preserve">efectiva anual arrojada para el período de cálculo correspondiente por un portafolio de referencia, </w:t>
      </w:r>
      <w:r w:rsidRPr="002A1DA6">
        <w:rPr>
          <w:rFonts w:cs="Arial"/>
          <w:sz w:val="16"/>
          <w:szCs w:val="16"/>
          <w:lang w:val="es-MX"/>
        </w:rPr>
        <w:t xml:space="preserve">que es actualizado y valorado a precios de mercado, deducidos los gastos establecidos por la SFC. </w:t>
      </w:r>
    </w:p>
    <w:p w:rsidR="00AF5809" w:rsidRPr="002A1DA6" w:rsidRDefault="00AF5809" w:rsidP="001613E6">
      <w:pPr>
        <w:rPr>
          <w:rFonts w:cs="Arial"/>
          <w:sz w:val="16"/>
          <w:szCs w:val="16"/>
          <w:lang w:val="es-CO"/>
        </w:rPr>
      </w:pPr>
    </w:p>
    <w:p w:rsidR="00AF5809" w:rsidRPr="002A1DA6" w:rsidRDefault="00AF5809" w:rsidP="001613E6">
      <w:pPr>
        <w:rPr>
          <w:rFonts w:cs="Arial"/>
          <w:sz w:val="16"/>
          <w:szCs w:val="16"/>
          <w:lang w:val="es-CO"/>
        </w:rPr>
      </w:pPr>
      <w:r w:rsidRPr="002A1DA6">
        <w:rPr>
          <w:rFonts w:cs="Arial"/>
          <w:sz w:val="16"/>
          <w:szCs w:val="16"/>
          <w:lang w:val="es-CO"/>
        </w:rPr>
        <w:t xml:space="preserve">Dicho portafolio de referencia está constituido por un portafolio de inversiones en títulos de renta fija que refleja las posibilidades de inversión a largo plazo disponibles en el mercado, durante el período de evaluación de la rentabilidad </w:t>
      </w:r>
      <w:r w:rsidRPr="002A1DA6">
        <w:rPr>
          <w:rFonts w:cs="Arial"/>
          <w:sz w:val="16"/>
          <w:szCs w:val="16"/>
          <w:lang w:val="es-MX"/>
        </w:rPr>
        <w:t xml:space="preserve">de los portafolios de largo plazo </w:t>
      </w:r>
      <w:r w:rsidRPr="002A1DA6">
        <w:rPr>
          <w:rFonts w:cs="Arial"/>
          <w:sz w:val="16"/>
          <w:szCs w:val="16"/>
          <w:lang w:val="es-CO"/>
        </w:rPr>
        <w:t>de los fondos de cesantía. En la construcción del portafolio para cada período de evaluación y en posteriores actualizaciones, deben escogerse títulos específicos en los cuales sea posible invertir durante dicho período.</w:t>
      </w:r>
    </w:p>
    <w:p w:rsidR="00AF5809" w:rsidRPr="002A1DA6" w:rsidRDefault="00AF5809" w:rsidP="001613E6">
      <w:pPr>
        <w:rPr>
          <w:rFonts w:cs="Arial"/>
          <w:sz w:val="16"/>
          <w:szCs w:val="16"/>
          <w:lang w:val="es-CO"/>
        </w:rPr>
      </w:pPr>
    </w:p>
    <w:p w:rsidR="00AF5809" w:rsidRPr="002A1DA6" w:rsidRDefault="00AF5809" w:rsidP="001613E6">
      <w:pPr>
        <w:rPr>
          <w:rFonts w:cs="Arial"/>
          <w:sz w:val="16"/>
          <w:szCs w:val="16"/>
          <w:lang w:val="es-CO"/>
        </w:rPr>
      </w:pPr>
      <w:r w:rsidRPr="002A1DA6">
        <w:rPr>
          <w:rFonts w:cs="Arial"/>
          <w:sz w:val="16"/>
          <w:szCs w:val="16"/>
          <w:lang w:val="es-CO"/>
        </w:rPr>
        <w:t>Para el efecto deben tenerse en cuenta los siguientes aspectos:</w:t>
      </w:r>
    </w:p>
    <w:p w:rsidR="00AF5809" w:rsidRPr="002A1DA6" w:rsidRDefault="00AF5809" w:rsidP="001613E6">
      <w:pPr>
        <w:rPr>
          <w:rFonts w:cs="Arial"/>
          <w:sz w:val="16"/>
          <w:szCs w:val="16"/>
          <w:lang w:val="es-CO"/>
        </w:rPr>
      </w:pPr>
    </w:p>
    <w:p w:rsidR="00AF5809" w:rsidRPr="002A1DA6" w:rsidRDefault="00AF5809" w:rsidP="001613E6">
      <w:pPr>
        <w:rPr>
          <w:rFonts w:cs="Arial"/>
          <w:sz w:val="16"/>
          <w:szCs w:val="16"/>
          <w:lang w:val="es-CO"/>
        </w:rPr>
      </w:pPr>
      <w:r w:rsidRPr="002A1DA6">
        <w:rPr>
          <w:rFonts w:cs="Arial"/>
          <w:sz w:val="16"/>
          <w:szCs w:val="16"/>
          <w:lang w:val="es-CO"/>
        </w:rPr>
        <w:t>1.10.2.1. Para la constitución y actualización del mencionado portafolio, deben seguirse las siguientes reglas:</w:t>
      </w:r>
    </w:p>
    <w:p w:rsidR="00AF5809" w:rsidRPr="002A1DA6" w:rsidRDefault="00AF5809" w:rsidP="001613E6">
      <w:pPr>
        <w:rPr>
          <w:rFonts w:cs="Arial"/>
          <w:sz w:val="16"/>
          <w:szCs w:val="16"/>
          <w:lang w:val="es-CO"/>
        </w:rPr>
      </w:pPr>
    </w:p>
    <w:p w:rsidR="00AF5809" w:rsidRPr="002A1DA6" w:rsidRDefault="00AF5809" w:rsidP="001613E6">
      <w:pPr>
        <w:rPr>
          <w:rFonts w:cs="Arial"/>
          <w:sz w:val="16"/>
          <w:szCs w:val="16"/>
          <w:lang w:val="es-CO"/>
        </w:rPr>
      </w:pPr>
      <w:r w:rsidRPr="002A1DA6">
        <w:rPr>
          <w:rFonts w:cs="Arial"/>
          <w:sz w:val="16"/>
          <w:szCs w:val="16"/>
          <w:lang w:val="es-CO"/>
        </w:rPr>
        <w:t>1.10.2.1.1. Se excluyen las acciones del portafolio de referencia, puesto que la rentabilidad de las acciones se considera por separado según lo previsto en el artículo 2.6.9.1.2. del Decreto 2555 de 2010.</w:t>
      </w:r>
    </w:p>
    <w:p w:rsidR="00AF5809" w:rsidRPr="002A1DA6" w:rsidRDefault="00AF5809" w:rsidP="001613E6">
      <w:pPr>
        <w:rPr>
          <w:rFonts w:cs="Arial"/>
          <w:sz w:val="16"/>
          <w:szCs w:val="16"/>
          <w:lang w:val="es-CO"/>
        </w:rPr>
      </w:pPr>
    </w:p>
    <w:p w:rsidR="00AF5809" w:rsidRPr="002A1DA6" w:rsidRDefault="00AF5809" w:rsidP="001613E6">
      <w:pPr>
        <w:rPr>
          <w:rFonts w:cs="Arial"/>
          <w:sz w:val="16"/>
          <w:szCs w:val="16"/>
          <w:lang w:val="es-CO"/>
        </w:rPr>
      </w:pPr>
      <w:r w:rsidRPr="002A1DA6">
        <w:rPr>
          <w:rFonts w:cs="Arial"/>
          <w:sz w:val="16"/>
          <w:szCs w:val="16"/>
          <w:lang w:val="es-CO"/>
        </w:rPr>
        <w:t>1.10.2.1.2. Para efectos de la primera evaluación de la rentabilidad mínima de las inversiones, la SFC construyó el primer portafolio de referencia para los fondos de cesantía el 1 de julio de 1995, con valor inicial de referencia de $1.000.000. La conformación inicial de dicho portafolio se presenta en el</w:t>
      </w:r>
      <w:r w:rsidR="00613435" w:rsidRPr="002A1DA6">
        <w:rPr>
          <w:rFonts w:cs="Arial"/>
          <w:sz w:val="16"/>
          <w:szCs w:val="16"/>
          <w:lang w:val="es-CO"/>
        </w:rPr>
        <w:t xml:space="preserve"> Anexo 3 </w:t>
      </w:r>
      <w:r w:rsidRPr="002A1DA6">
        <w:rPr>
          <w:rFonts w:cs="Arial"/>
          <w:sz w:val="16"/>
          <w:szCs w:val="16"/>
          <w:lang w:val="es-CO"/>
        </w:rPr>
        <w:t xml:space="preserve">de este Capítulo. </w:t>
      </w:r>
    </w:p>
    <w:p w:rsidR="00AF5809" w:rsidRPr="002A1DA6" w:rsidRDefault="00AF5809" w:rsidP="001613E6">
      <w:pPr>
        <w:rPr>
          <w:rFonts w:cs="Arial"/>
          <w:sz w:val="16"/>
          <w:szCs w:val="16"/>
          <w:lang w:val="es-CO"/>
        </w:rPr>
      </w:pPr>
    </w:p>
    <w:p w:rsidR="00AF5809" w:rsidRPr="002A1DA6" w:rsidRDefault="00AF5809" w:rsidP="001613E6">
      <w:pPr>
        <w:rPr>
          <w:rFonts w:cs="Arial"/>
          <w:sz w:val="16"/>
          <w:szCs w:val="16"/>
          <w:lang w:val="es-CO"/>
        </w:rPr>
      </w:pPr>
      <w:r w:rsidRPr="002A1DA6">
        <w:rPr>
          <w:rFonts w:cs="Arial"/>
          <w:sz w:val="16"/>
          <w:szCs w:val="16"/>
          <w:lang w:val="es-CO"/>
        </w:rPr>
        <w:t>1.10.2.1.3. Cuando un título tenga vencimientos de capital o de rendimientos, éstos deben reinvertirse inmediatamente de acuerdo con la oferta de títulos en el mercado, siguiendo los lineamientos establecidos en este subnumeral.</w:t>
      </w:r>
    </w:p>
    <w:p w:rsidR="00AF5809" w:rsidRPr="002A1DA6" w:rsidRDefault="00AF5809" w:rsidP="001613E6">
      <w:pPr>
        <w:rPr>
          <w:rFonts w:cs="Arial"/>
          <w:sz w:val="16"/>
          <w:szCs w:val="16"/>
          <w:lang w:val="es-CO"/>
        </w:rPr>
      </w:pPr>
    </w:p>
    <w:p w:rsidR="00AF5809" w:rsidRPr="002A1DA6" w:rsidRDefault="00AF5809" w:rsidP="001613E6">
      <w:pPr>
        <w:rPr>
          <w:rFonts w:cs="Arial"/>
          <w:sz w:val="16"/>
          <w:szCs w:val="16"/>
          <w:lang w:val="es-CO"/>
        </w:rPr>
      </w:pPr>
      <w:r w:rsidRPr="002A1DA6">
        <w:rPr>
          <w:rFonts w:cs="Arial"/>
          <w:sz w:val="16"/>
          <w:szCs w:val="16"/>
          <w:lang w:val="es-CO"/>
        </w:rPr>
        <w:t>1.10.2.1.4. Para efectos de calcular los rendimientos de los títulos incluidos en el portafolio de referencia, las tasas de interés utilizadas se toman netas de comisiones.</w:t>
      </w:r>
    </w:p>
    <w:p w:rsidR="00AF5809" w:rsidRPr="002A1DA6" w:rsidRDefault="00AF5809" w:rsidP="001613E6">
      <w:pPr>
        <w:rPr>
          <w:rFonts w:cs="Arial"/>
          <w:sz w:val="16"/>
          <w:szCs w:val="16"/>
          <w:lang w:val="es-CO"/>
        </w:rPr>
      </w:pPr>
    </w:p>
    <w:p w:rsidR="00AF5809" w:rsidRPr="002A1DA6" w:rsidRDefault="00AF5809" w:rsidP="002554B4">
      <w:pPr>
        <w:rPr>
          <w:rFonts w:cs="Arial"/>
          <w:sz w:val="16"/>
          <w:szCs w:val="16"/>
          <w:lang w:val="es-CO"/>
        </w:rPr>
      </w:pPr>
      <w:r w:rsidRPr="002A1DA6">
        <w:rPr>
          <w:rFonts w:cs="Arial"/>
          <w:sz w:val="16"/>
          <w:szCs w:val="16"/>
          <w:lang w:val="es-CO"/>
        </w:rPr>
        <w:t>1.10.2.1.5. La valoración a precios de mercado de los títulos de renta fija que componen el portafolio de referencia, debe efectuarse de acuerdo con lo establecido en el artículo 2.16.1.1.2 del Decreto 2555 de 2010 y lo dispuesto en el Capítulo I de la CBCF</w:t>
      </w:r>
      <w:r w:rsidRPr="002A1DA6">
        <w:rPr>
          <w:rFonts w:cs="Arial"/>
          <w:sz w:val="16"/>
          <w:szCs w:val="16"/>
        </w:rPr>
        <w:t>.</w:t>
      </w:r>
    </w:p>
    <w:p w:rsidR="00AF5809" w:rsidRPr="002A1DA6" w:rsidRDefault="00AF5809" w:rsidP="001613E6">
      <w:pPr>
        <w:rPr>
          <w:rFonts w:cs="Arial"/>
          <w:sz w:val="16"/>
          <w:szCs w:val="16"/>
          <w:lang w:val="es-CO"/>
        </w:rPr>
      </w:pPr>
    </w:p>
    <w:p w:rsidR="00AF5809" w:rsidRPr="002A1DA6" w:rsidRDefault="00AF5809" w:rsidP="001613E6">
      <w:pPr>
        <w:rPr>
          <w:rFonts w:cs="Arial"/>
          <w:sz w:val="16"/>
          <w:szCs w:val="16"/>
          <w:lang w:val="es-CO"/>
        </w:rPr>
      </w:pPr>
      <w:r w:rsidRPr="002A1DA6">
        <w:rPr>
          <w:rFonts w:cs="Arial"/>
          <w:sz w:val="16"/>
          <w:szCs w:val="16"/>
          <w:lang w:val="es-CO"/>
        </w:rPr>
        <w:t>1.10.2.1.6. El primer día de cada mes, el portafolio de referencia se incrementa o disminuye en el valor que resulte de aplicar a su saldo inicial del mes inmediatamente anterior, el porcentaje en que varíe durante el mismo mes el valor de los aportes netos de todos los portafolios de largo plazo de los fondos de cesantía respecto de su valor inicial.</w:t>
      </w:r>
    </w:p>
    <w:p w:rsidR="00AF5809" w:rsidRPr="002A1DA6" w:rsidRDefault="00AF5809" w:rsidP="001613E6">
      <w:pPr>
        <w:rPr>
          <w:rFonts w:cs="Arial"/>
          <w:sz w:val="16"/>
          <w:szCs w:val="16"/>
          <w:lang w:val="es-CO"/>
        </w:rPr>
      </w:pPr>
    </w:p>
    <w:p w:rsidR="00AF5809" w:rsidRPr="002A1DA6" w:rsidRDefault="00AF5809" w:rsidP="001613E6">
      <w:pPr>
        <w:rPr>
          <w:rFonts w:cs="Arial"/>
          <w:sz w:val="16"/>
          <w:szCs w:val="16"/>
          <w:lang w:val="es-CO"/>
        </w:rPr>
      </w:pPr>
      <w:r w:rsidRPr="002A1DA6">
        <w:rPr>
          <w:rFonts w:cs="Arial"/>
          <w:sz w:val="16"/>
          <w:szCs w:val="16"/>
          <w:lang w:val="es-CO"/>
        </w:rPr>
        <w:t>Como variación de los aportes netos, se entiende el valor que resulte de deducir los retiros, anulaciones y traslados efectuados, a los aportes y traslados recibidos durante el respectivo mes.</w:t>
      </w:r>
    </w:p>
    <w:p w:rsidR="00AF5809" w:rsidRPr="002A1DA6" w:rsidRDefault="00AF5809" w:rsidP="001613E6">
      <w:pPr>
        <w:rPr>
          <w:rFonts w:cs="Arial"/>
          <w:sz w:val="16"/>
          <w:szCs w:val="16"/>
          <w:lang w:val="es-CO"/>
        </w:rPr>
      </w:pPr>
    </w:p>
    <w:p w:rsidR="00AF5809" w:rsidRPr="002A1DA6" w:rsidRDefault="00AF5809" w:rsidP="00771F9C">
      <w:pPr>
        <w:rPr>
          <w:rFonts w:cs="Arial"/>
          <w:sz w:val="16"/>
          <w:szCs w:val="16"/>
          <w:lang w:val="es-CO"/>
        </w:rPr>
      </w:pPr>
      <w:r w:rsidRPr="002A1DA6">
        <w:rPr>
          <w:rFonts w:cs="Arial"/>
          <w:sz w:val="16"/>
          <w:szCs w:val="16"/>
          <w:lang w:val="es-CO"/>
        </w:rPr>
        <w:t xml:space="preserve">1.10.2.1.7. La rentabilidad del portafolio de referencia para el período acumulado de 24 meses se determina como la tasa interna de retorno – TIR- en términos efectivos anuales, del flujo de caja mensual que considera como ingresos el valor final del portafolio del primer día del período de cálculo y los aumentos o disminuciones de que trata el subnumeral anterior efectuados durante el mismo período y como egreso el valor final del portafolio del último día del período de cálculo. </w:t>
      </w:r>
    </w:p>
    <w:p w:rsidR="00AF5809" w:rsidRPr="002A1DA6" w:rsidRDefault="00AF5809" w:rsidP="00771F9C">
      <w:pPr>
        <w:rPr>
          <w:rFonts w:cs="Arial"/>
          <w:sz w:val="16"/>
          <w:szCs w:val="16"/>
          <w:lang w:val="es-CO"/>
        </w:rPr>
      </w:pPr>
    </w:p>
    <w:p w:rsidR="00AF5809" w:rsidRPr="002A1DA6" w:rsidRDefault="00AF5809" w:rsidP="00771F9C">
      <w:pPr>
        <w:rPr>
          <w:rFonts w:cs="Arial"/>
          <w:sz w:val="16"/>
          <w:szCs w:val="16"/>
          <w:lang w:val="es-CO"/>
        </w:rPr>
      </w:pPr>
      <w:r w:rsidRPr="002A1DA6">
        <w:rPr>
          <w:rFonts w:cs="Arial"/>
          <w:sz w:val="16"/>
          <w:szCs w:val="16"/>
          <w:lang w:val="es-CO"/>
        </w:rPr>
        <w:t xml:space="preserve">El valor final del portafolio de referencia al cierre de cada mes se </w:t>
      </w:r>
      <w:r w:rsidR="00A07791" w:rsidRPr="002A1DA6">
        <w:rPr>
          <w:rFonts w:cs="Arial"/>
          <w:sz w:val="16"/>
          <w:szCs w:val="16"/>
          <w:lang w:val="es-CO"/>
        </w:rPr>
        <w:t xml:space="preserve">debe </w:t>
      </w:r>
      <w:r w:rsidRPr="002A1DA6">
        <w:rPr>
          <w:rFonts w:cs="Arial"/>
          <w:sz w:val="16"/>
          <w:szCs w:val="16"/>
          <w:lang w:val="es-CO"/>
        </w:rPr>
        <w:t>establecer de la siguiente manera:</w:t>
      </w:r>
    </w:p>
    <w:p w:rsidR="00AF5809" w:rsidRPr="002A1DA6" w:rsidRDefault="00AF5809" w:rsidP="00771F9C">
      <w:pPr>
        <w:rPr>
          <w:rFonts w:cs="Arial"/>
          <w:sz w:val="16"/>
          <w:szCs w:val="16"/>
          <w:lang w:val="es-CO"/>
        </w:rPr>
      </w:pPr>
    </w:p>
    <w:p w:rsidR="00AF5809" w:rsidRPr="002A1DA6" w:rsidRDefault="00AF5809" w:rsidP="00771F9C">
      <w:pPr>
        <w:rPr>
          <w:rFonts w:cs="Arial"/>
          <w:sz w:val="16"/>
          <w:szCs w:val="16"/>
          <w:lang w:val="de-DE"/>
        </w:rPr>
      </w:pPr>
      <w:r w:rsidRPr="002A1DA6">
        <w:rPr>
          <w:rFonts w:cs="Arial"/>
          <w:sz w:val="16"/>
          <w:szCs w:val="16"/>
          <w:lang w:val="de-DE"/>
        </w:rPr>
        <w:t>VFPmt      =   VFPmt-1 + AN + ING - GTS</w:t>
      </w:r>
    </w:p>
    <w:p w:rsidR="00AF5809" w:rsidRPr="002A1DA6" w:rsidRDefault="00AF5809" w:rsidP="00771F9C">
      <w:pPr>
        <w:rPr>
          <w:rFonts w:cs="Arial"/>
          <w:sz w:val="16"/>
          <w:szCs w:val="16"/>
          <w:lang w:val="de-DE"/>
        </w:rPr>
      </w:pPr>
    </w:p>
    <w:p w:rsidR="00AF5809" w:rsidRPr="002A1DA6" w:rsidRDefault="00AF5809" w:rsidP="00771F9C">
      <w:pPr>
        <w:rPr>
          <w:rFonts w:cs="Arial"/>
          <w:sz w:val="16"/>
          <w:szCs w:val="16"/>
          <w:lang w:val="de-DE"/>
        </w:rPr>
      </w:pPr>
      <w:r w:rsidRPr="002A1DA6">
        <w:rPr>
          <w:rFonts w:cs="Arial"/>
          <w:sz w:val="16"/>
          <w:szCs w:val="16"/>
          <w:lang w:val="de-DE"/>
        </w:rPr>
        <w:t xml:space="preserve">Donde: </w:t>
      </w:r>
    </w:p>
    <w:p w:rsidR="00AF5809" w:rsidRPr="002A1DA6" w:rsidRDefault="00AF5809" w:rsidP="00771F9C">
      <w:pPr>
        <w:rPr>
          <w:rFonts w:cs="Arial"/>
          <w:sz w:val="16"/>
          <w:szCs w:val="16"/>
          <w:lang w:val="de-DE"/>
        </w:rPr>
      </w:pPr>
    </w:p>
    <w:p w:rsidR="00AF5809" w:rsidRPr="002A1DA6" w:rsidRDefault="00AF5809" w:rsidP="00771F9C">
      <w:pPr>
        <w:rPr>
          <w:rFonts w:cs="Arial"/>
          <w:sz w:val="16"/>
          <w:szCs w:val="16"/>
          <w:lang w:val="es-CO"/>
        </w:rPr>
      </w:pPr>
      <w:r w:rsidRPr="002A1DA6">
        <w:rPr>
          <w:rFonts w:cs="Arial"/>
          <w:sz w:val="16"/>
          <w:szCs w:val="16"/>
          <w:lang w:val="es-CO"/>
        </w:rPr>
        <w:t xml:space="preserve">VFPmt     =  Valor final del portafolio al cierre del mes t  </w:t>
      </w:r>
    </w:p>
    <w:p w:rsidR="00AF5809" w:rsidRPr="002A1DA6" w:rsidRDefault="00AF5809" w:rsidP="00771F9C">
      <w:pPr>
        <w:rPr>
          <w:rFonts w:cs="Arial"/>
          <w:sz w:val="16"/>
          <w:szCs w:val="16"/>
          <w:lang w:val="es-CO"/>
        </w:rPr>
      </w:pPr>
    </w:p>
    <w:p w:rsidR="00AF5809" w:rsidRPr="002A1DA6" w:rsidRDefault="00AF5809" w:rsidP="00771F9C">
      <w:pPr>
        <w:rPr>
          <w:rFonts w:cs="Arial"/>
          <w:sz w:val="16"/>
          <w:szCs w:val="16"/>
          <w:lang w:val="es-CO"/>
        </w:rPr>
      </w:pPr>
      <w:r w:rsidRPr="002A1DA6">
        <w:rPr>
          <w:rFonts w:cs="Arial"/>
          <w:sz w:val="16"/>
          <w:szCs w:val="16"/>
          <w:lang w:val="es-CO"/>
        </w:rPr>
        <w:t xml:space="preserve">VFPmt-1  =  Valor final del portafolio al cierre del mes anterior  </w:t>
      </w:r>
    </w:p>
    <w:p w:rsidR="00AF5809" w:rsidRPr="002A1DA6" w:rsidRDefault="00AF5809" w:rsidP="00771F9C">
      <w:pPr>
        <w:rPr>
          <w:rFonts w:cs="Arial"/>
          <w:sz w:val="16"/>
          <w:szCs w:val="16"/>
          <w:lang w:val="es-CO"/>
        </w:rPr>
      </w:pPr>
    </w:p>
    <w:p w:rsidR="00AF5809" w:rsidRPr="002A1DA6" w:rsidRDefault="00AF5809" w:rsidP="00771F9C">
      <w:pPr>
        <w:rPr>
          <w:rFonts w:cs="Arial"/>
          <w:sz w:val="16"/>
          <w:szCs w:val="16"/>
          <w:lang w:val="es-CO"/>
        </w:rPr>
      </w:pPr>
      <w:r w:rsidRPr="002A1DA6">
        <w:rPr>
          <w:rFonts w:cs="Arial"/>
          <w:sz w:val="16"/>
          <w:szCs w:val="16"/>
          <w:lang w:val="es-CO"/>
        </w:rPr>
        <w:t xml:space="preserve">AN      = Aportes netos del mes t, establecidos de conformidad con lo  dispuesto en el </w:t>
      </w:r>
      <w:r w:rsidR="00A07791" w:rsidRPr="002A1DA6">
        <w:rPr>
          <w:rFonts w:cs="Arial"/>
          <w:sz w:val="16"/>
          <w:szCs w:val="16"/>
          <w:lang w:val="es-CO"/>
        </w:rPr>
        <w:t>subnumeral 1.10.2.1.6. anterior</w:t>
      </w:r>
    </w:p>
    <w:p w:rsidR="00AF5809" w:rsidRPr="002A1DA6" w:rsidRDefault="00AF5809" w:rsidP="00771F9C">
      <w:pPr>
        <w:rPr>
          <w:rFonts w:cs="Arial"/>
          <w:sz w:val="16"/>
          <w:szCs w:val="16"/>
          <w:lang w:val="es-CO"/>
        </w:rPr>
      </w:pPr>
    </w:p>
    <w:p w:rsidR="00AF5809" w:rsidRPr="002A1DA6" w:rsidRDefault="00AF5809" w:rsidP="00771F9C">
      <w:pPr>
        <w:rPr>
          <w:rFonts w:cs="Arial"/>
          <w:sz w:val="16"/>
          <w:szCs w:val="16"/>
          <w:lang w:val="es-CO"/>
        </w:rPr>
      </w:pPr>
      <w:r w:rsidRPr="002A1DA6">
        <w:rPr>
          <w:rFonts w:cs="Arial"/>
          <w:sz w:val="16"/>
          <w:szCs w:val="16"/>
          <w:lang w:val="es-CO"/>
        </w:rPr>
        <w:t>ING         =  Ingresos del mes t por efectos de la valoración del portafolio, su resultado puede ser positivo o negativo</w:t>
      </w:r>
    </w:p>
    <w:p w:rsidR="00AF5809" w:rsidRPr="002A1DA6" w:rsidRDefault="00AF5809" w:rsidP="00771F9C">
      <w:pPr>
        <w:rPr>
          <w:rFonts w:cs="Arial"/>
          <w:sz w:val="16"/>
          <w:szCs w:val="16"/>
          <w:lang w:val="es-CO"/>
        </w:rPr>
      </w:pPr>
    </w:p>
    <w:p w:rsidR="00AF5809" w:rsidRPr="002A1DA6" w:rsidRDefault="00AF5809" w:rsidP="00771F9C">
      <w:pPr>
        <w:rPr>
          <w:rFonts w:cs="Arial"/>
          <w:sz w:val="16"/>
          <w:szCs w:val="16"/>
          <w:lang w:val="es-CO"/>
        </w:rPr>
      </w:pPr>
      <w:r w:rsidRPr="002A1DA6">
        <w:rPr>
          <w:rFonts w:cs="Arial"/>
          <w:sz w:val="16"/>
          <w:szCs w:val="16"/>
          <w:lang w:val="es-CO"/>
        </w:rPr>
        <w:t>GTS    = Gastos del mes t, los cuales corresponden a los siguientes conceptos:</w:t>
      </w:r>
    </w:p>
    <w:p w:rsidR="00AF5809" w:rsidRPr="002A1DA6" w:rsidRDefault="00AF5809" w:rsidP="00771F9C">
      <w:pPr>
        <w:rPr>
          <w:rFonts w:cs="Arial"/>
          <w:sz w:val="16"/>
          <w:szCs w:val="16"/>
          <w:lang w:val="es-CO"/>
        </w:rPr>
      </w:pPr>
    </w:p>
    <w:p w:rsidR="00AF5809" w:rsidRPr="002A1DA6" w:rsidRDefault="00AF5809" w:rsidP="00771F9C">
      <w:pPr>
        <w:rPr>
          <w:rFonts w:cs="Arial"/>
          <w:sz w:val="16"/>
          <w:szCs w:val="16"/>
          <w:lang w:val="es-CO"/>
        </w:rPr>
      </w:pPr>
      <w:r w:rsidRPr="002A1DA6">
        <w:rPr>
          <w:rFonts w:cs="Arial"/>
          <w:sz w:val="16"/>
          <w:szCs w:val="16"/>
          <w:lang w:val="es-CO"/>
        </w:rPr>
        <w:t>Comisión de administración: calculada al cierre de cada mes, teniendo en cuenta los parámetros generales previstos en el subnumeral 1.1.8 del Capítulo XII de la CBCF.</w:t>
      </w:r>
    </w:p>
    <w:p w:rsidR="00AF5809" w:rsidRPr="002A1DA6" w:rsidRDefault="00AF5809" w:rsidP="00771F9C">
      <w:pPr>
        <w:rPr>
          <w:rFonts w:cs="Arial"/>
          <w:sz w:val="16"/>
          <w:szCs w:val="16"/>
          <w:lang w:val="es-CO"/>
        </w:rPr>
      </w:pPr>
    </w:p>
    <w:p w:rsidR="00AF5809" w:rsidRPr="002A1DA6" w:rsidRDefault="00AF5809" w:rsidP="00771F9C">
      <w:pPr>
        <w:rPr>
          <w:rFonts w:cs="Arial"/>
          <w:sz w:val="16"/>
          <w:szCs w:val="16"/>
          <w:lang w:val="es-CO"/>
        </w:rPr>
      </w:pPr>
      <w:r w:rsidRPr="002A1DA6">
        <w:rPr>
          <w:rFonts w:cs="Arial"/>
          <w:sz w:val="16"/>
          <w:szCs w:val="16"/>
          <w:lang w:val="es-CO"/>
        </w:rPr>
        <w:t xml:space="preserve">El porcentaje de comisión de administración, el cual debe estar dentro del máximo autorizado por esta Superintendencia. </w:t>
      </w:r>
    </w:p>
    <w:p w:rsidR="00AF5809" w:rsidRPr="002A1DA6" w:rsidRDefault="00AF5809" w:rsidP="00771F9C">
      <w:pPr>
        <w:rPr>
          <w:rFonts w:cs="Arial"/>
          <w:sz w:val="16"/>
          <w:szCs w:val="16"/>
          <w:lang w:val="es-CO"/>
        </w:rPr>
      </w:pPr>
    </w:p>
    <w:p w:rsidR="00AF5809" w:rsidRPr="002A1DA6" w:rsidRDefault="00AF5809" w:rsidP="00771F9C">
      <w:pPr>
        <w:rPr>
          <w:rFonts w:cs="Arial"/>
          <w:sz w:val="16"/>
          <w:szCs w:val="16"/>
          <w:lang w:val="es-CO"/>
        </w:rPr>
      </w:pPr>
      <w:r w:rsidRPr="002A1DA6">
        <w:rPr>
          <w:rFonts w:cs="Arial"/>
          <w:sz w:val="16"/>
          <w:szCs w:val="16"/>
          <w:lang w:val="es-CO"/>
        </w:rPr>
        <w:t xml:space="preserve">La causación de estos gastos debe efectuarse en forma mensual, el último día de cada mes, y se presume que el pago de los mismos se realiza el primer día del mes siguiente. </w:t>
      </w:r>
    </w:p>
    <w:p w:rsidR="00AF5809" w:rsidRPr="002A1DA6" w:rsidRDefault="00AF5809" w:rsidP="00771F9C">
      <w:pPr>
        <w:rPr>
          <w:rFonts w:cs="Arial"/>
          <w:sz w:val="16"/>
          <w:szCs w:val="16"/>
          <w:lang w:val="es-CO"/>
        </w:rPr>
      </w:pPr>
    </w:p>
    <w:p w:rsidR="00AF5809" w:rsidRPr="002A1DA6" w:rsidRDefault="00AF5809" w:rsidP="00771F9C">
      <w:pPr>
        <w:rPr>
          <w:rFonts w:cs="Arial"/>
          <w:sz w:val="16"/>
          <w:szCs w:val="16"/>
          <w:lang w:val="es-CO"/>
        </w:rPr>
      </w:pPr>
      <w:r w:rsidRPr="002A1DA6">
        <w:rPr>
          <w:rFonts w:cs="Arial"/>
          <w:sz w:val="16"/>
          <w:szCs w:val="16"/>
          <w:lang w:val="es-CO"/>
        </w:rPr>
        <w:t>Cuatro por mil.</w:t>
      </w:r>
    </w:p>
    <w:p w:rsidR="00AF5809" w:rsidRPr="002A1DA6" w:rsidRDefault="00AF5809" w:rsidP="00771F9C">
      <w:pPr>
        <w:rPr>
          <w:rFonts w:cs="Arial"/>
          <w:sz w:val="16"/>
          <w:szCs w:val="16"/>
          <w:lang w:val="es-CO"/>
        </w:rPr>
      </w:pPr>
    </w:p>
    <w:p w:rsidR="00AF5809" w:rsidRPr="002A1DA6" w:rsidRDefault="00AF5809" w:rsidP="00771F9C">
      <w:pPr>
        <w:rPr>
          <w:rFonts w:cs="Arial"/>
          <w:sz w:val="16"/>
          <w:szCs w:val="16"/>
          <w:lang w:val="es-CO"/>
        </w:rPr>
      </w:pPr>
      <w:r w:rsidRPr="002A1DA6">
        <w:rPr>
          <w:rFonts w:cs="Arial"/>
          <w:sz w:val="16"/>
          <w:szCs w:val="16"/>
          <w:lang w:val="es-CO"/>
        </w:rPr>
        <w:t>Este costo se determina sobre los intereses y el capital vencidos, el valor en que se incremente el portafolio de referencia por concepto de aportes menos anulaciones el primer día de cada mes y los pagos por concepto de comisión de administración. Su causación y pago debe realizarse el mismo día en que se establezca su valor.</w:t>
      </w:r>
    </w:p>
    <w:p w:rsidR="00AF5809" w:rsidRPr="002A1DA6" w:rsidRDefault="00AF5809" w:rsidP="00771F9C">
      <w:pPr>
        <w:rPr>
          <w:rFonts w:cs="Arial"/>
          <w:sz w:val="16"/>
          <w:szCs w:val="16"/>
          <w:lang w:val="es-CO"/>
        </w:rPr>
      </w:pPr>
    </w:p>
    <w:p w:rsidR="00AF5809" w:rsidRPr="002A1DA6" w:rsidRDefault="00AF5809" w:rsidP="001613E6">
      <w:pPr>
        <w:rPr>
          <w:rFonts w:cs="Arial"/>
          <w:sz w:val="16"/>
          <w:szCs w:val="16"/>
          <w:lang w:val="es-CO"/>
        </w:rPr>
      </w:pPr>
      <w:r w:rsidRPr="002A1DA6">
        <w:rPr>
          <w:rFonts w:cs="Arial"/>
          <w:sz w:val="16"/>
          <w:szCs w:val="16"/>
          <w:lang w:val="es-CO"/>
        </w:rPr>
        <w:t>Debe advertirse que dentro de los límites establecidos en el régimen de inversión de los portafolios de largo plazo de los fondos de cesantía, las entidades están en libertad de establecer su propio portafolio de inversiones y</w:t>
      </w:r>
      <w:r w:rsidRPr="002A1DA6">
        <w:rPr>
          <w:rFonts w:cs="Arial"/>
          <w:b/>
          <w:sz w:val="16"/>
          <w:szCs w:val="16"/>
          <w:lang w:val="es-CO"/>
        </w:rPr>
        <w:t xml:space="preserve"> </w:t>
      </w:r>
      <w:r w:rsidRPr="002A1DA6">
        <w:rPr>
          <w:rFonts w:cs="Arial"/>
          <w:sz w:val="16"/>
          <w:szCs w:val="16"/>
          <w:lang w:val="es-CO"/>
        </w:rPr>
        <w:t xml:space="preserve">en ningún momento tienen la obligación de adoptar el portafolio de referencia diseñado por la SFC. </w:t>
      </w:r>
      <w:r w:rsidR="00A07791" w:rsidRPr="002A1DA6">
        <w:rPr>
          <w:rFonts w:cs="Arial"/>
          <w:sz w:val="16"/>
          <w:szCs w:val="16"/>
          <w:lang w:val="es-CO"/>
        </w:rPr>
        <w:t xml:space="preserve">El </w:t>
      </w:r>
      <w:r w:rsidRPr="002A1DA6">
        <w:rPr>
          <w:rFonts w:cs="Arial"/>
          <w:sz w:val="16"/>
          <w:szCs w:val="16"/>
          <w:lang w:val="es-CO"/>
        </w:rPr>
        <w:t xml:space="preserve">portafolio de referencia establecido de acuerdo con las reglas anteriores, </w:t>
      </w:r>
      <w:r w:rsidR="00A07791" w:rsidRPr="002A1DA6">
        <w:rPr>
          <w:rFonts w:cs="Arial"/>
          <w:sz w:val="16"/>
          <w:szCs w:val="16"/>
          <w:lang w:val="es-CO"/>
        </w:rPr>
        <w:t>es</w:t>
      </w:r>
      <w:r w:rsidRPr="002A1DA6">
        <w:rPr>
          <w:rFonts w:cs="Arial"/>
          <w:sz w:val="16"/>
          <w:szCs w:val="16"/>
          <w:lang w:val="es-CO"/>
        </w:rPr>
        <w:t xml:space="preserve"> simplemente un marco de referencia con el fin de integrar uno de los factores necesarios para calcular la rentabilidad mínima de los portafolios de largo plazo de los fondos de cesantía.</w:t>
      </w:r>
    </w:p>
    <w:p w:rsidR="00AF5809" w:rsidRPr="002A1DA6" w:rsidRDefault="00AF5809" w:rsidP="001613E6">
      <w:pPr>
        <w:rPr>
          <w:rFonts w:cs="Arial"/>
          <w:b/>
          <w:sz w:val="16"/>
          <w:szCs w:val="16"/>
          <w:lang w:val="es-CO"/>
        </w:rPr>
      </w:pPr>
    </w:p>
    <w:p w:rsidR="00AF5809" w:rsidRPr="002A1DA6" w:rsidRDefault="00AF5809" w:rsidP="001613E6">
      <w:pPr>
        <w:rPr>
          <w:rFonts w:cs="Arial"/>
          <w:sz w:val="16"/>
          <w:szCs w:val="16"/>
          <w:lang w:val="es-CO"/>
        </w:rPr>
      </w:pPr>
      <w:r w:rsidRPr="002A1DA6">
        <w:rPr>
          <w:rFonts w:cs="Arial"/>
          <w:sz w:val="16"/>
          <w:szCs w:val="16"/>
          <w:lang w:val="es-CO"/>
        </w:rPr>
        <w:t>1.10.2.2</w:t>
      </w:r>
      <w:r w:rsidRPr="002A1DA6">
        <w:rPr>
          <w:rFonts w:cs="Arial"/>
          <w:b/>
          <w:sz w:val="16"/>
          <w:szCs w:val="16"/>
          <w:lang w:val="es-CO"/>
        </w:rPr>
        <w:t>.</w:t>
      </w:r>
      <w:r w:rsidRPr="002A1DA6" w:rsidDel="00B11F87">
        <w:rPr>
          <w:rFonts w:cs="Arial"/>
          <w:b/>
          <w:sz w:val="16"/>
          <w:szCs w:val="16"/>
          <w:lang w:val="es-CO"/>
        </w:rPr>
        <w:t xml:space="preserve"> </w:t>
      </w:r>
      <w:r w:rsidRPr="002A1DA6">
        <w:rPr>
          <w:rFonts w:cs="Arial"/>
          <w:sz w:val="16"/>
          <w:szCs w:val="16"/>
          <w:lang w:val="es-CO"/>
        </w:rPr>
        <w:t>Con el fin de calcular los rendimientos de los títulos incluidos en el portafolio de referencia, se deben considerar las siguientes tasas de interés:</w:t>
      </w:r>
    </w:p>
    <w:p w:rsidR="00AF5809" w:rsidRPr="002A1DA6" w:rsidRDefault="00AF5809" w:rsidP="001613E6">
      <w:pPr>
        <w:rPr>
          <w:rFonts w:cs="Arial"/>
          <w:b/>
          <w:sz w:val="16"/>
          <w:szCs w:val="16"/>
          <w:lang w:val="es-CO"/>
        </w:rPr>
      </w:pPr>
    </w:p>
    <w:p w:rsidR="00AF5809" w:rsidRPr="002A1DA6" w:rsidRDefault="00AF5809" w:rsidP="001613E6">
      <w:pPr>
        <w:rPr>
          <w:rFonts w:cs="Arial"/>
          <w:sz w:val="16"/>
          <w:szCs w:val="16"/>
          <w:lang w:val="es-CO"/>
        </w:rPr>
      </w:pPr>
      <w:r w:rsidRPr="002A1DA6">
        <w:rPr>
          <w:rFonts w:cs="Arial"/>
          <w:sz w:val="16"/>
          <w:szCs w:val="16"/>
          <w:lang w:val="es-CO"/>
        </w:rPr>
        <w:t>1.10.2.2.1. Títulos de Tesorería TES clase B a tasa fija:</w:t>
      </w:r>
      <w:r w:rsidRPr="002A1DA6">
        <w:rPr>
          <w:rFonts w:cs="Arial"/>
          <w:b/>
          <w:sz w:val="16"/>
          <w:szCs w:val="16"/>
          <w:lang w:val="es-CO"/>
        </w:rPr>
        <w:t xml:space="preserve"> </w:t>
      </w:r>
      <w:r w:rsidRPr="002A1DA6">
        <w:rPr>
          <w:rFonts w:cs="Arial"/>
          <w:sz w:val="16"/>
          <w:szCs w:val="16"/>
          <w:lang w:val="es-CO"/>
        </w:rPr>
        <w:t>La tasa cupón es igual a la  establecida en la subasta efectuada el día inmediatamente anterior a la inclusión del título en el portafolio, de acuerdo con su plazo. De no existir emisión en dicho día, la tasa cupón debe ser igual a la rentabilidad promedio ponderada</w:t>
      </w:r>
      <w:r w:rsidRPr="002A1DA6">
        <w:rPr>
          <w:rFonts w:cs="Arial"/>
          <w:b/>
          <w:sz w:val="16"/>
          <w:szCs w:val="16"/>
          <w:lang w:val="es-CO"/>
        </w:rPr>
        <w:t xml:space="preserve"> </w:t>
      </w:r>
      <w:r w:rsidRPr="002A1DA6">
        <w:rPr>
          <w:rFonts w:cs="Arial"/>
          <w:sz w:val="16"/>
          <w:szCs w:val="16"/>
          <w:lang w:val="es-CO"/>
        </w:rPr>
        <w:t xml:space="preserve">del mercado secundario de los TES B a tasa fija en la BVC del día inmediatamente anterior a su inclusión en el portafolio, que tengan plazos de maduración más cercanos al </w:t>
      </w:r>
      <w:r w:rsidRPr="002A1DA6">
        <w:rPr>
          <w:rFonts w:cs="Arial"/>
          <w:sz w:val="16"/>
          <w:szCs w:val="16"/>
          <w:lang w:val="es-CO"/>
        </w:rPr>
        <w:lastRenderedPageBreak/>
        <w:t>del título que se va a incluir. Si no existen transacciones en la BVC no debe incorporarse este tipo de títulos en el portafolio de referencia.</w:t>
      </w:r>
    </w:p>
    <w:p w:rsidR="00AF5809" w:rsidRPr="002A1DA6" w:rsidRDefault="00AF5809" w:rsidP="001613E6">
      <w:pPr>
        <w:rPr>
          <w:rFonts w:cs="Arial"/>
          <w:b/>
          <w:sz w:val="16"/>
          <w:szCs w:val="16"/>
          <w:lang w:val="es-CO"/>
        </w:rPr>
      </w:pPr>
    </w:p>
    <w:p w:rsidR="00AF5809" w:rsidRPr="002A1DA6" w:rsidRDefault="00AF5809" w:rsidP="001613E6">
      <w:pPr>
        <w:rPr>
          <w:rFonts w:cs="Arial"/>
          <w:sz w:val="16"/>
          <w:szCs w:val="16"/>
          <w:lang w:val="es-CO"/>
        </w:rPr>
      </w:pPr>
      <w:r w:rsidRPr="002A1DA6">
        <w:rPr>
          <w:rFonts w:cs="Arial"/>
          <w:sz w:val="16"/>
          <w:szCs w:val="16"/>
          <w:lang w:val="es-CO"/>
        </w:rPr>
        <w:t>1.10.2.2.2.</w:t>
      </w:r>
      <w:r w:rsidRPr="002A1DA6">
        <w:rPr>
          <w:rFonts w:cs="Arial"/>
          <w:b/>
          <w:sz w:val="16"/>
          <w:szCs w:val="16"/>
          <w:lang w:val="es-CO"/>
        </w:rPr>
        <w:t xml:space="preserve"> </w:t>
      </w:r>
      <w:r w:rsidRPr="002A1DA6">
        <w:rPr>
          <w:rFonts w:cs="Arial"/>
          <w:sz w:val="16"/>
          <w:szCs w:val="16"/>
          <w:lang w:val="es-CO"/>
        </w:rPr>
        <w:t>Títulos de Tesorería TES clase B a tasa real:</w:t>
      </w:r>
      <w:r w:rsidRPr="002A1DA6">
        <w:rPr>
          <w:rFonts w:cs="Arial"/>
          <w:b/>
          <w:sz w:val="16"/>
          <w:szCs w:val="16"/>
          <w:lang w:val="es-CO"/>
        </w:rPr>
        <w:t xml:space="preserve"> </w:t>
      </w:r>
      <w:r w:rsidRPr="002A1DA6">
        <w:rPr>
          <w:rFonts w:cs="Arial"/>
          <w:sz w:val="16"/>
          <w:szCs w:val="16"/>
          <w:lang w:val="es-CO"/>
        </w:rPr>
        <w:t>El índice anual de precios al consumidor “IPC” más la tasa real de negociación de la emisión efectuada el día anterior a la inclusión del título en el portafolio, de acuerdo con su plazo. De no existir emisión en dicho día, debe tomarse la rentabilidad promedio ponderada</w:t>
      </w:r>
      <w:r w:rsidRPr="002A1DA6">
        <w:rPr>
          <w:rFonts w:cs="Arial"/>
          <w:b/>
          <w:sz w:val="16"/>
          <w:szCs w:val="16"/>
          <w:lang w:val="es-CO"/>
        </w:rPr>
        <w:t xml:space="preserve"> </w:t>
      </w:r>
      <w:r w:rsidRPr="002A1DA6">
        <w:rPr>
          <w:rFonts w:cs="Arial"/>
          <w:sz w:val="16"/>
          <w:szCs w:val="16"/>
          <w:lang w:val="es-CO"/>
        </w:rPr>
        <w:t>del mercado secundario de los TES B a tasa real en la BVC del día inmediatamente anterior a su inclusión en el portafolio, con los plazos de maduración más cercanos al del título que se va a incluir. Si no existen transacciones en la bolsa no debe incorporarse este tipo de títulos en el portafolio de referencia.</w:t>
      </w:r>
    </w:p>
    <w:p w:rsidR="00AF5809" w:rsidRPr="002A1DA6" w:rsidRDefault="00AF5809" w:rsidP="001613E6">
      <w:pPr>
        <w:rPr>
          <w:rFonts w:cs="Arial"/>
          <w:b/>
          <w:sz w:val="16"/>
          <w:szCs w:val="16"/>
          <w:lang w:val="es-CO"/>
        </w:rPr>
      </w:pPr>
    </w:p>
    <w:p w:rsidR="00AF5809" w:rsidRPr="002A1DA6" w:rsidRDefault="00AF5809" w:rsidP="001613E6">
      <w:pPr>
        <w:rPr>
          <w:rFonts w:cs="Arial"/>
          <w:sz w:val="16"/>
          <w:szCs w:val="16"/>
          <w:lang w:val="es-CO"/>
        </w:rPr>
      </w:pPr>
      <w:r w:rsidRPr="002A1DA6">
        <w:rPr>
          <w:rFonts w:cs="Arial"/>
          <w:sz w:val="16"/>
          <w:szCs w:val="16"/>
          <w:lang w:val="es-CO"/>
        </w:rPr>
        <w:t>1.10.2.2.3. Certificados de Depósito a Término: Será igual a las tasas de emisión del día de la inclusión del título en el portafolio de acuerdo con su plazo.</w:t>
      </w:r>
    </w:p>
    <w:p w:rsidR="00AF5809" w:rsidRPr="002A1DA6" w:rsidRDefault="00AF5809" w:rsidP="001613E6">
      <w:pPr>
        <w:rPr>
          <w:rFonts w:cs="Arial"/>
          <w:b/>
          <w:sz w:val="16"/>
          <w:szCs w:val="16"/>
          <w:lang w:val="es-CO"/>
        </w:rPr>
      </w:pPr>
    </w:p>
    <w:p w:rsidR="00AF5809" w:rsidRPr="002A1DA6" w:rsidRDefault="00AF5809" w:rsidP="001613E6">
      <w:pPr>
        <w:rPr>
          <w:rFonts w:cs="Arial"/>
          <w:sz w:val="16"/>
          <w:szCs w:val="16"/>
          <w:lang w:val="es-CO"/>
        </w:rPr>
      </w:pPr>
      <w:r w:rsidRPr="002A1DA6">
        <w:rPr>
          <w:rFonts w:cs="Arial"/>
          <w:sz w:val="16"/>
          <w:szCs w:val="16"/>
          <w:lang w:val="es-CO"/>
        </w:rPr>
        <w:t>1.10.2.2.4. Bonos: La tasa de interés de los bonos debe ser igual al promedio simple de la tasa de interés pactada en las emisiones efectuadas el día inmediatamente anterior a la inclusión del título en el portafolio de referencia, según su plazo. De no existir emisiones en ese día, debe utilizarse la tasa de rentabilidad del mercado secundario promedio ponderada de la BVC para transacciones de bonos del día inmediatamente anterior a su inclusión en el portafolio que tengan plazos de maduración más cercanos al del título que se va a incluir. Si no existen transacciones en la BVC no se debe incorporar este tipo de títulos en el portafolio de referencia.</w:t>
      </w:r>
    </w:p>
    <w:p w:rsidR="00AF5809" w:rsidRPr="002A1DA6" w:rsidRDefault="00AF5809" w:rsidP="001613E6">
      <w:pPr>
        <w:rPr>
          <w:rFonts w:cs="Arial"/>
          <w:b/>
          <w:sz w:val="16"/>
          <w:szCs w:val="16"/>
          <w:lang w:val="es-CO"/>
        </w:rPr>
      </w:pPr>
    </w:p>
    <w:p w:rsidR="00AF5809" w:rsidRPr="002A1DA6" w:rsidRDefault="00AF5809" w:rsidP="001613E6">
      <w:pPr>
        <w:ind w:left="426" w:hanging="426"/>
        <w:rPr>
          <w:rFonts w:cs="Arial"/>
          <w:b/>
          <w:sz w:val="16"/>
          <w:szCs w:val="16"/>
          <w:lang w:val="es-CO"/>
        </w:rPr>
      </w:pPr>
    </w:p>
    <w:p w:rsidR="00AF5809" w:rsidRPr="002A1DA6" w:rsidRDefault="00AF5809" w:rsidP="001613E6">
      <w:pPr>
        <w:rPr>
          <w:rFonts w:cs="Arial"/>
          <w:sz w:val="16"/>
          <w:szCs w:val="16"/>
          <w:lang w:val="es-CO"/>
        </w:rPr>
      </w:pPr>
    </w:p>
    <w:p w:rsidR="00AF5809" w:rsidRPr="002A1DA6" w:rsidRDefault="00AF5809" w:rsidP="00EE201D">
      <w:pPr>
        <w:rPr>
          <w:rFonts w:cs="Arial"/>
          <w:sz w:val="16"/>
          <w:szCs w:val="16"/>
        </w:rPr>
      </w:pPr>
    </w:p>
    <w:sectPr w:rsidR="00AF5809" w:rsidRPr="002A1DA6" w:rsidSect="0077051F">
      <w:footerReference w:type="default" r:id="rId10"/>
      <w:pgSz w:w="12240" w:h="18720" w:code="14"/>
      <w:pgMar w:top="1418" w:right="1701" w:bottom="1418" w:left="1701" w:header="1134"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16D" w:rsidRDefault="0053016D" w:rsidP="00325AB9">
      <w:r>
        <w:separator/>
      </w:r>
    </w:p>
  </w:endnote>
  <w:endnote w:type="continuationSeparator" w:id="0">
    <w:p w:rsidR="0053016D" w:rsidRDefault="0053016D" w:rsidP="0032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809" w:rsidRDefault="00AF5809">
    <w:pPr>
      <w:pStyle w:val="Piedepgina"/>
    </w:pPr>
  </w:p>
  <w:p w:rsidR="00AF5809" w:rsidRPr="00A07791" w:rsidRDefault="00AF5809">
    <w:pPr>
      <w:pStyle w:val="Piedepgina"/>
      <w:rPr>
        <w:b/>
        <w:lang w:val="pt-BR"/>
      </w:rPr>
    </w:pPr>
    <w:r w:rsidRPr="00A07791">
      <w:rPr>
        <w:b/>
        <w:lang w:val="pt-BR"/>
      </w:rPr>
      <w:t xml:space="preserve">PARTE II </w:t>
    </w:r>
    <w:r>
      <w:rPr>
        <w:b/>
        <w:lang w:val="pt-BR"/>
      </w:rPr>
      <w:t>–</w:t>
    </w:r>
    <w:r w:rsidRPr="00A07791">
      <w:rPr>
        <w:b/>
        <w:lang w:val="pt-BR"/>
      </w:rPr>
      <w:t xml:space="preserve"> TÍTULO III </w:t>
    </w:r>
    <w:r>
      <w:rPr>
        <w:b/>
        <w:lang w:val="pt-BR"/>
      </w:rPr>
      <w:t>–</w:t>
    </w:r>
    <w:r w:rsidRPr="00A07791">
      <w:rPr>
        <w:b/>
        <w:lang w:val="pt-BR"/>
      </w:rPr>
      <w:t xml:space="preserve"> CAPÍTULO III</w:t>
    </w:r>
    <w:r>
      <w:rPr>
        <w:b/>
        <w:lang w:val="pt-BR"/>
      </w:rPr>
      <w:tab/>
    </w:r>
    <w:r w:rsidRPr="00A07791">
      <w:rPr>
        <w:b/>
        <w:lang w:val="pt-BR"/>
      </w:rPr>
      <w:t xml:space="preserve">                                                            </w:t>
    </w:r>
    <w:r w:rsidR="0077051F">
      <w:rPr>
        <w:b/>
        <w:lang w:val="pt-BR"/>
      </w:rPr>
      <w:t xml:space="preserve">                          </w:t>
    </w:r>
    <w:r w:rsidRPr="00A07791">
      <w:rPr>
        <w:b/>
        <w:lang w:val="pt-B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51F" w:rsidRDefault="0077051F">
    <w:pPr>
      <w:pStyle w:val="Piedepgina"/>
    </w:pPr>
  </w:p>
  <w:p w:rsidR="0077051F" w:rsidRDefault="0077051F" w:rsidP="00A87EAD">
    <w:pPr>
      <w:pStyle w:val="Piedepgina"/>
      <w:framePr w:wrap="around" w:vAnchor="text" w:hAnchor="page" w:x="10403" w:y="3"/>
      <w:rPr>
        <w:rStyle w:val="Nmerodepgina"/>
        <w:rFonts w:cs="Arial"/>
        <w:b/>
        <w:szCs w:val="18"/>
      </w:rPr>
    </w:pPr>
    <w:r>
      <w:rPr>
        <w:rStyle w:val="Nmerodepgina"/>
        <w:rFonts w:cs="Arial"/>
        <w:b/>
        <w:szCs w:val="18"/>
      </w:rPr>
      <w:fldChar w:fldCharType="begin"/>
    </w:r>
    <w:r>
      <w:rPr>
        <w:rStyle w:val="Nmerodepgina"/>
        <w:rFonts w:cs="Arial"/>
        <w:b/>
        <w:szCs w:val="18"/>
      </w:rPr>
      <w:instrText>PAGE</w:instrText>
    </w:r>
    <w:r w:rsidRPr="009E03CC">
      <w:rPr>
        <w:rStyle w:val="Nmerodepgina"/>
        <w:rFonts w:cs="Arial"/>
        <w:b/>
        <w:szCs w:val="18"/>
      </w:rPr>
      <w:instrText xml:space="preserve">  </w:instrText>
    </w:r>
    <w:r>
      <w:rPr>
        <w:rStyle w:val="Nmerodepgina"/>
        <w:rFonts w:cs="Arial"/>
        <w:b/>
        <w:szCs w:val="18"/>
      </w:rPr>
      <w:fldChar w:fldCharType="separate"/>
    </w:r>
    <w:r w:rsidR="005E4F80">
      <w:rPr>
        <w:rStyle w:val="Nmerodepgina"/>
        <w:rFonts w:cs="Arial"/>
        <w:b/>
        <w:noProof/>
        <w:szCs w:val="18"/>
      </w:rPr>
      <w:t>6</w:t>
    </w:r>
    <w:r>
      <w:rPr>
        <w:rStyle w:val="Nmerodepgina"/>
        <w:rFonts w:cs="Arial"/>
        <w:b/>
        <w:szCs w:val="18"/>
      </w:rPr>
      <w:fldChar w:fldCharType="end"/>
    </w:r>
  </w:p>
  <w:p w:rsidR="0077051F" w:rsidRPr="00A07791" w:rsidRDefault="0077051F">
    <w:pPr>
      <w:pStyle w:val="Piedepgina"/>
      <w:rPr>
        <w:b/>
        <w:lang w:val="pt-BR"/>
      </w:rPr>
    </w:pPr>
    <w:r w:rsidRPr="00A07791">
      <w:rPr>
        <w:b/>
        <w:lang w:val="pt-BR"/>
      </w:rPr>
      <w:t xml:space="preserve">PARTE II </w:t>
    </w:r>
    <w:r>
      <w:rPr>
        <w:b/>
        <w:lang w:val="pt-BR"/>
      </w:rPr>
      <w:t>–</w:t>
    </w:r>
    <w:r w:rsidRPr="00A07791">
      <w:rPr>
        <w:b/>
        <w:lang w:val="pt-BR"/>
      </w:rPr>
      <w:t xml:space="preserve"> TÍTULO III </w:t>
    </w:r>
    <w:r>
      <w:rPr>
        <w:b/>
        <w:lang w:val="pt-BR"/>
      </w:rPr>
      <w:t>–</w:t>
    </w:r>
    <w:r w:rsidRPr="00A07791">
      <w:rPr>
        <w:b/>
        <w:lang w:val="pt-BR"/>
      </w:rPr>
      <w:t xml:space="preserve"> CAPÍTULO III</w:t>
    </w:r>
    <w:r>
      <w:rPr>
        <w:b/>
        <w:lang w:val="pt-BR"/>
      </w:rPr>
      <w:tab/>
    </w:r>
    <w:r w:rsidRPr="00A07791">
      <w:rPr>
        <w:b/>
        <w:lang w:val="pt-BR"/>
      </w:rPr>
      <w:t xml:space="preserve">                                                            </w:t>
    </w:r>
    <w:r>
      <w:rPr>
        <w:b/>
        <w:lang w:val="pt-BR"/>
      </w:rPr>
      <w:t xml:space="preserve">                           PÁGINA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16D" w:rsidRDefault="0053016D" w:rsidP="00325AB9">
      <w:r>
        <w:separator/>
      </w:r>
    </w:p>
  </w:footnote>
  <w:footnote w:type="continuationSeparator" w:id="0">
    <w:p w:rsidR="0053016D" w:rsidRDefault="0053016D" w:rsidP="00325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809" w:rsidRDefault="00AF5809" w:rsidP="00325AB9">
    <w:pPr>
      <w:pStyle w:val="Encabezado"/>
      <w:jc w:val="center"/>
      <w:rPr>
        <w:b/>
        <w:sz w:val="24"/>
        <w:szCs w:val="24"/>
      </w:rPr>
    </w:pPr>
    <w:r w:rsidRPr="00325AB9">
      <w:rPr>
        <w:b/>
        <w:sz w:val="24"/>
        <w:szCs w:val="24"/>
      </w:rPr>
      <w:t>SUPERINTENDENCIA FINANCIERA DE COLOMBIA</w:t>
    </w:r>
  </w:p>
  <w:p w:rsidR="00AF5809" w:rsidRPr="00325AB9" w:rsidRDefault="00AF5809" w:rsidP="00325AB9">
    <w:pPr>
      <w:pStyle w:val="Encabezado"/>
      <w:jc w:val="cent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15CA8D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87033F6"/>
    <w:multiLevelType w:val="multilevel"/>
    <w:tmpl w:val="A3F8DBBA"/>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start w:val="1"/>
      <w:numFmt w:val="decimal"/>
      <w:pStyle w:val="Ttulo9"/>
      <w:lvlText w:val="%1.%2.%3.%4.%5.%6.%7.%8.%9"/>
      <w:lvlJc w:val="left"/>
      <w:pPr>
        <w:tabs>
          <w:tab w:val="num" w:pos="1584"/>
        </w:tabs>
        <w:ind w:left="1584" w:hanging="1584"/>
      </w:pPr>
      <w:rPr>
        <w:rFonts w:cs="Times New Roman"/>
      </w:rPr>
    </w:lvl>
  </w:abstractNum>
  <w:abstractNum w:abstractNumId="2">
    <w:nsid w:val="62F22BB5"/>
    <w:multiLevelType w:val="hybridMultilevel"/>
    <w:tmpl w:val="DCDC5D9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02D3"/>
    <w:rsid w:val="00000216"/>
    <w:rsid w:val="000006A0"/>
    <w:rsid w:val="00031AB0"/>
    <w:rsid w:val="00051446"/>
    <w:rsid w:val="000A206C"/>
    <w:rsid w:val="000B5214"/>
    <w:rsid w:val="000D0DEF"/>
    <w:rsid w:val="000D457F"/>
    <w:rsid w:val="000E4E32"/>
    <w:rsid w:val="00111399"/>
    <w:rsid w:val="00136C68"/>
    <w:rsid w:val="001613E6"/>
    <w:rsid w:val="00183159"/>
    <w:rsid w:val="00185928"/>
    <w:rsid w:val="0019762E"/>
    <w:rsid w:val="001B0E30"/>
    <w:rsid w:val="001C11DF"/>
    <w:rsid w:val="001C5C2B"/>
    <w:rsid w:val="001D6A31"/>
    <w:rsid w:val="00203FA4"/>
    <w:rsid w:val="00227792"/>
    <w:rsid w:val="002554B4"/>
    <w:rsid w:val="00266412"/>
    <w:rsid w:val="002947BB"/>
    <w:rsid w:val="002A1DA6"/>
    <w:rsid w:val="002A67A3"/>
    <w:rsid w:val="002D5F80"/>
    <w:rsid w:val="002F3529"/>
    <w:rsid w:val="00325AB9"/>
    <w:rsid w:val="00344CC4"/>
    <w:rsid w:val="003463F0"/>
    <w:rsid w:val="003548EB"/>
    <w:rsid w:val="0039299B"/>
    <w:rsid w:val="003B0B4E"/>
    <w:rsid w:val="003F7664"/>
    <w:rsid w:val="003F7DE2"/>
    <w:rsid w:val="004453BE"/>
    <w:rsid w:val="00447A11"/>
    <w:rsid w:val="00472BD7"/>
    <w:rsid w:val="00505CE8"/>
    <w:rsid w:val="0051263F"/>
    <w:rsid w:val="0053016D"/>
    <w:rsid w:val="0058525A"/>
    <w:rsid w:val="00596D93"/>
    <w:rsid w:val="005E4F80"/>
    <w:rsid w:val="00601A59"/>
    <w:rsid w:val="0061119C"/>
    <w:rsid w:val="00613435"/>
    <w:rsid w:val="00617C56"/>
    <w:rsid w:val="00624276"/>
    <w:rsid w:val="00624829"/>
    <w:rsid w:val="00625A63"/>
    <w:rsid w:val="00630787"/>
    <w:rsid w:val="006628C5"/>
    <w:rsid w:val="006645DA"/>
    <w:rsid w:val="006D3F6C"/>
    <w:rsid w:val="006D4778"/>
    <w:rsid w:val="007004F4"/>
    <w:rsid w:val="00706EC4"/>
    <w:rsid w:val="0070749E"/>
    <w:rsid w:val="00733AF8"/>
    <w:rsid w:val="0075232D"/>
    <w:rsid w:val="00755ACE"/>
    <w:rsid w:val="007606B8"/>
    <w:rsid w:val="00764494"/>
    <w:rsid w:val="007645E5"/>
    <w:rsid w:val="0077051F"/>
    <w:rsid w:val="00771F9C"/>
    <w:rsid w:val="00772AFC"/>
    <w:rsid w:val="00783D6B"/>
    <w:rsid w:val="007867D5"/>
    <w:rsid w:val="007A190C"/>
    <w:rsid w:val="007F1538"/>
    <w:rsid w:val="007F6B1E"/>
    <w:rsid w:val="008101C7"/>
    <w:rsid w:val="0082522C"/>
    <w:rsid w:val="00831240"/>
    <w:rsid w:val="00857DF7"/>
    <w:rsid w:val="00874D60"/>
    <w:rsid w:val="008816AE"/>
    <w:rsid w:val="00882E0F"/>
    <w:rsid w:val="008C02D3"/>
    <w:rsid w:val="008F48B4"/>
    <w:rsid w:val="008F7D2D"/>
    <w:rsid w:val="0092101D"/>
    <w:rsid w:val="009B14B4"/>
    <w:rsid w:val="009E03CC"/>
    <w:rsid w:val="009E5EB8"/>
    <w:rsid w:val="00A03B55"/>
    <w:rsid w:val="00A07791"/>
    <w:rsid w:val="00A15899"/>
    <w:rsid w:val="00A17808"/>
    <w:rsid w:val="00A87EAD"/>
    <w:rsid w:val="00AB0460"/>
    <w:rsid w:val="00AB1BC3"/>
    <w:rsid w:val="00AD7992"/>
    <w:rsid w:val="00AF5809"/>
    <w:rsid w:val="00B11F87"/>
    <w:rsid w:val="00BC02CD"/>
    <w:rsid w:val="00BF1CC3"/>
    <w:rsid w:val="00C07CDC"/>
    <w:rsid w:val="00C5747F"/>
    <w:rsid w:val="00C76C5A"/>
    <w:rsid w:val="00C851DB"/>
    <w:rsid w:val="00CA0007"/>
    <w:rsid w:val="00CB2B66"/>
    <w:rsid w:val="00CE7CBD"/>
    <w:rsid w:val="00D01DF6"/>
    <w:rsid w:val="00D214B8"/>
    <w:rsid w:val="00D4785A"/>
    <w:rsid w:val="00D926C0"/>
    <w:rsid w:val="00DA009E"/>
    <w:rsid w:val="00DF08F3"/>
    <w:rsid w:val="00DF196C"/>
    <w:rsid w:val="00DF49A6"/>
    <w:rsid w:val="00E128CB"/>
    <w:rsid w:val="00E26F3E"/>
    <w:rsid w:val="00E321C3"/>
    <w:rsid w:val="00E92E8D"/>
    <w:rsid w:val="00EB2B10"/>
    <w:rsid w:val="00ED1A43"/>
    <w:rsid w:val="00EE201D"/>
    <w:rsid w:val="00EE7E15"/>
    <w:rsid w:val="00F147B6"/>
    <w:rsid w:val="00F27E40"/>
    <w:rsid w:val="00F41246"/>
    <w:rsid w:val="00FA7FF7"/>
    <w:rsid w:val="00FB4606"/>
    <w:rsid w:val="00FC2B6E"/>
    <w:rsid w:val="00FC7402"/>
    <w:rsid w:val="00FC7BAC"/>
    <w:rsid w:val="00FD3D36"/>
    <w:rsid w:val="00FF17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locked="0" w:unhideWhenUsed="0"/>
    <w:lsdException w:name="Medium Grid 2" w:locked="0" w:semiHidden="0" w:uiPriority="1" w:unhideWhenUsed="0" w:qFormat="1"/>
    <w:lsdException w:name="Medium Grid 3" w:locked="0" w:semiHidden="0" w:uiPriority="60" w:unhideWhenUsed="0"/>
    <w:lsdException w:name="Dark List" w:locked="0" w:semiHidden="0" w:uiPriority="61" w:unhideWhenUsed="0"/>
    <w:lsdException w:name="Colorful Shading" w:locked="0" w:semiHidden="0" w:uiPriority="62" w:unhideWhenUsed="0"/>
    <w:lsdException w:name="Colorful List" w:locked="0" w:semiHidden="0" w:uiPriority="63" w:unhideWhenUsed="0"/>
    <w:lsdException w:name="Colorful Grid" w:locked="0" w:semiHidden="0" w:uiPriority="64" w:unhideWhenUsed="0"/>
    <w:lsdException w:name="Light Shading Accent 1" w:locked="0" w:semiHidden="0" w:uiPriority="65" w:unhideWhenUsed="0"/>
    <w:lsdException w:name="Light List Accent 1" w:locked="0" w:semiHidden="0" w:uiPriority="66" w:unhideWhenUsed="0"/>
    <w:lsdException w:name="Light Grid Accent 1" w:locked="0" w:semiHidden="0" w:uiPriority="67" w:unhideWhenUsed="0"/>
    <w:lsdException w:name="Medium Shading 1 Accent 1" w:locked="0" w:semiHidden="0" w:uiPriority="68" w:unhideWhenUsed="0"/>
    <w:lsdException w:name="Medium Shading 2 Accent 1" w:locked="0" w:semiHidden="0" w:uiPriority="69" w:unhideWhenUsed="0"/>
    <w:lsdException w:name="Medium List 1 Accent 1" w:locked="0" w:semiHidden="0" w:uiPriority="70" w:unhideWhenUsed="0"/>
    <w:lsdException w:name="Revision" w:locked="0" w:semiHidden="0" w:uiPriority="71" w:unhideWhenUsed="0"/>
    <w:lsdException w:name="List Paragraph" w:locked="0" w:semiHidden="0" w:uiPriority="72" w:unhideWhenUsed="0" w:qFormat="1"/>
    <w:lsdException w:name="Quote" w:locked="0" w:semiHidden="0" w:uiPriority="73" w:unhideWhenUsed="0" w:qFormat="1"/>
    <w:lsdException w:name="Intense Quote" w:locked="0" w:semiHidden="0" w:uiPriority="60" w:unhideWhenUsed="0" w:qFormat="1"/>
    <w:lsdException w:name="Medium List 2 Accent 1" w:locked="0" w:semiHidden="0" w:uiPriority="61" w:unhideWhenUsed="0"/>
    <w:lsdException w:name="Medium Grid 1 Accent 1" w:locked="0" w:semiHidden="0" w:uiPriority="62" w:unhideWhenUsed="0"/>
    <w:lsdException w:name="Medium Grid 2 Accent 1" w:locked="0" w:semiHidden="0" w:uiPriority="63" w:unhideWhenUsed="0"/>
    <w:lsdException w:name="Medium Grid 3 Accent 1" w:locked="0" w:semiHidden="0" w:uiPriority="64" w:unhideWhenUsed="0"/>
    <w:lsdException w:name="Dark List Accent 1" w:locked="0" w:semiHidden="0" w:uiPriority="65" w:unhideWhenUsed="0"/>
    <w:lsdException w:name="Colorful Shading Accent 1" w:locked="0" w:unhideWhenUsed="0"/>
    <w:lsdException w:name="Colorful List Accent 1" w:locked="0" w:semiHidden="0" w:uiPriority="34" w:unhideWhenUsed="0" w:qFormat="1"/>
    <w:lsdException w:name="Colorful Grid Accent 1" w:locked="0" w:semiHidden="0" w:uiPriority="29" w:unhideWhenUsed="0" w:qFormat="1"/>
    <w:lsdException w:name="Light Shading Accent 2" w:locked="0" w:semiHidden="0" w:uiPriority="30" w:unhideWhenUsed="0" w:qFormat="1"/>
    <w:lsdException w:name="Light List Accent 2" w:locked="0" w:semiHidden="0" w:uiPriority="66" w:unhideWhenUsed="0"/>
    <w:lsdException w:name="Light Grid Accent 2" w:locked="0" w:semiHidden="0" w:uiPriority="67" w:unhideWhenUsed="0"/>
    <w:lsdException w:name="Medium Shading 1 Accent 2" w:locked="0" w:semiHidden="0" w:uiPriority="68" w:unhideWhenUsed="0"/>
    <w:lsdException w:name="Medium Shading 2 Accent 2" w:locked="0" w:semiHidden="0" w:uiPriority="69" w:unhideWhenUsed="0"/>
    <w:lsdException w:name="Medium List 1 Accent 2" w:locked="0" w:semiHidden="0" w:uiPriority="70" w:unhideWhenUsed="0"/>
    <w:lsdException w:name="Medium List 2 Accent 2" w:locked="0" w:semiHidden="0" w:uiPriority="71" w:unhideWhenUsed="0"/>
    <w:lsdException w:name="Medium Grid 1 Accent 2" w:locked="0" w:semiHidden="0" w:uiPriority="72" w:unhideWhenUsed="0"/>
    <w:lsdException w:name="Medium Grid 2 Accent 2" w:locked="0" w:semiHidden="0" w:uiPriority="73" w:unhideWhenUsed="0"/>
    <w:lsdException w:name="Medium Grid 3 Accent 2" w:locked="0" w:semiHidden="0" w:uiPriority="60" w:unhideWhenUsed="0"/>
    <w:lsdException w:name="Dark List Accent 2" w:locked="0" w:semiHidden="0" w:uiPriority="61" w:unhideWhenUsed="0"/>
    <w:lsdException w:name="Colorful Shading Accent 2" w:locked="0" w:semiHidden="0" w:uiPriority="62" w:unhideWhenUsed="0"/>
    <w:lsdException w:name="Colorful List Accent 2" w:locked="0" w:semiHidden="0" w:uiPriority="63" w:unhideWhenUsed="0"/>
    <w:lsdException w:name="Colorful Grid Accent 2" w:locked="0" w:semiHidden="0" w:uiPriority="64" w:unhideWhenUsed="0"/>
    <w:lsdException w:name="Light Shading Accent 3" w:locked="0" w:semiHidden="0" w:uiPriority="65" w:unhideWhenUsed="0"/>
    <w:lsdException w:name="Light List Accent 3" w:locked="0" w:semiHidden="0" w:uiPriority="66" w:unhideWhenUsed="0"/>
    <w:lsdException w:name="Light Grid Accent 3" w:locked="0" w:semiHidden="0" w:uiPriority="67" w:unhideWhenUsed="0"/>
    <w:lsdException w:name="Medium Shading 1 Accent 3" w:locked="0" w:semiHidden="0" w:uiPriority="68" w:unhideWhenUsed="0"/>
    <w:lsdException w:name="Medium Shading 2 Accent 3" w:locked="0" w:semiHidden="0" w:uiPriority="69" w:unhideWhenUsed="0"/>
    <w:lsdException w:name="Medium List 1 Accent 3" w:locked="0" w:semiHidden="0" w:uiPriority="70" w:unhideWhenUsed="0"/>
    <w:lsdException w:name="Medium List 2 Accent 3" w:locked="0" w:semiHidden="0" w:uiPriority="71" w:unhideWhenUsed="0"/>
    <w:lsdException w:name="Medium Grid 1 Accent 3" w:locked="0" w:semiHidden="0" w:uiPriority="72" w:unhideWhenUsed="0"/>
    <w:lsdException w:name="Medium Grid 2 Accent 3" w:locked="0" w:semiHidden="0" w:uiPriority="73" w:unhideWhenUsed="0"/>
    <w:lsdException w:name="Medium Grid 3 Accent 3" w:locked="0" w:semiHidden="0" w:uiPriority="60" w:unhideWhenUsed="0"/>
    <w:lsdException w:name="Dark List Accent 3" w:locked="0" w:semiHidden="0" w:uiPriority="61" w:unhideWhenUsed="0"/>
    <w:lsdException w:name="Colorful Shading Accent 3" w:locked="0" w:semiHidden="0" w:uiPriority="62" w:unhideWhenUsed="0"/>
    <w:lsdException w:name="Colorful List Accent 3" w:locked="0" w:semiHidden="0" w:uiPriority="63" w:unhideWhenUsed="0"/>
    <w:lsdException w:name="Colorful Grid Accent 3" w:locked="0" w:semiHidden="0" w:uiPriority="64" w:unhideWhenUsed="0"/>
    <w:lsdException w:name="Light Shading Accent 4" w:locked="0" w:semiHidden="0" w:uiPriority="65" w:unhideWhenUsed="0"/>
    <w:lsdException w:name="Light List Accent 4" w:locked="0" w:semiHidden="0" w:uiPriority="66" w:unhideWhenUsed="0"/>
    <w:lsdException w:name="Light Grid Accent 4" w:locked="0" w:semiHidden="0" w:uiPriority="67" w:unhideWhenUsed="0"/>
    <w:lsdException w:name="Medium Shading 1 Accent 4" w:locked="0" w:semiHidden="0" w:uiPriority="68" w:unhideWhenUsed="0"/>
    <w:lsdException w:name="Medium Shading 2 Accent 4" w:locked="0" w:semiHidden="0" w:uiPriority="69" w:unhideWhenUsed="0"/>
    <w:lsdException w:name="Medium List 1 Accent 4" w:locked="0" w:semiHidden="0" w:uiPriority="70" w:unhideWhenUsed="0"/>
    <w:lsdException w:name="Medium List 2 Accent 4" w:locked="0" w:semiHidden="0" w:uiPriority="71" w:unhideWhenUsed="0"/>
    <w:lsdException w:name="Medium Grid 1 Accent 4" w:locked="0" w:semiHidden="0" w:uiPriority="72" w:unhideWhenUsed="0"/>
    <w:lsdException w:name="Medium Grid 2 Accent 4" w:locked="0" w:semiHidden="0" w:uiPriority="73" w:unhideWhenUsed="0"/>
    <w:lsdException w:name="Medium Grid 3 Accent 4" w:locked="0" w:semiHidden="0" w:uiPriority="60" w:unhideWhenUsed="0"/>
    <w:lsdException w:name="Dark List Accent 4" w:locked="0" w:semiHidden="0" w:uiPriority="61" w:unhideWhenUsed="0"/>
    <w:lsdException w:name="Colorful Shading Accent 4" w:locked="0" w:semiHidden="0" w:uiPriority="62" w:unhideWhenUsed="0"/>
    <w:lsdException w:name="Colorful List Accent 4" w:locked="0" w:semiHidden="0" w:uiPriority="63" w:unhideWhenUsed="0"/>
    <w:lsdException w:name="Colorful Grid Accent 4" w:locked="0" w:semiHidden="0" w:uiPriority="64" w:unhideWhenUsed="0"/>
    <w:lsdException w:name="Light Shading Accent 5" w:locked="0" w:semiHidden="0" w:uiPriority="65" w:unhideWhenUsed="0"/>
    <w:lsdException w:name="Light List Accent 5" w:locked="0" w:semiHidden="0" w:uiPriority="66" w:unhideWhenUsed="0"/>
    <w:lsdException w:name="Light Grid Accent 5" w:locked="0" w:semiHidden="0" w:uiPriority="67" w:unhideWhenUsed="0"/>
    <w:lsdException w:name="Medium Shading 1 Accent 5" w:locked="0" w:semiHidden="0" w:uiPriority="68" w:unhideWhenUsed="0"/>
    <w:lsdException w:name="Medium Shading 2 Accent 5" w:locked="0" w:semiHidden="0" w:uiPriority="69" w:unhideWhenUsed="0"/>
    <w:lsdException w:name="Medium List 1 Accent 5" w:locked="0" w:semiHidden="0" w:uiPriority="70" w:unhideWhenUsed="0"/>
    <w:lsdException w:name="Medium List 2 Accent 5" w:locked="0" w:semiHidden="0" w:uiPriority="71" w:unhideWhenUsed="0"/>
    <w:lsdException w:name="Medium Grid 1 Accent 5" w:locked="0" w:semiHidden="0" w:uiPriority="72" w:unhideWhenUsed="0"/>
    <w:lsdException w:name="Medium Grid 2 Accent 5" w:locked="0" w:semiHidden="0" w:uiPriority="73" w:unhideWhenUsed="0"/>
    <w:lsdException w:name="Medium Grid 3 Accent 5" w:locked="0" w:semiHidden="0" w:uiPriority="60" w:unhideWhenUsed="0"/>
    <w:lsdException w:name="Dark List Accent 5" w:locked="0" w:semiHidden="0" w:uiPriority="61" w:unhideWhenUsed="0"/>
    <w:lsdException w:name="Colorful Shading Accent 5" w:locked="0" w:semiHidden="0" w:uiPriority="62" w:unhideWhenUsed="0"/>
    <w:lsdException w:name="Colorful List Accent 5" w:locked="0" w:semiHidden="0" w:uiPriority="63" w:unhideWhenUsed="0"/>
    <w:lsdException w:name="Colorful Grid Accent 5" w:locked="0" w:semiHidden="0" w:uiPriority="64" w:unhideWhenUsed="0"/>
    <w:lsdException w:name="Light Shading Accent 6" w:locked="0" w:semiHidden="0" w:uiPriority="65" w:unhideWhenUsed="0"/>
    <w:lsdException w:name="Light List Accent 6" w:locked="0" w:semiHidden="0" w:uiPriority="66" w:unhideWhenUsed="0"/>
    <w:lsdException w:name="Light Grid Accent 6" w:locked="0" w:semiHidden="0" w:uiPriority="67" w:unhideWhenUsed="0"/>
    <w:lsdException w:name="Medium Shading 1 Accent 6" w:locked="0" w:semiHidden="0" w:uiPriority="68" w:unhideWhenUsed="0"/>
    <w:lsdException w:name="Medium Shading 2 Accent 6" w:locked="0" w:semiHidden="0" w:uiPriority="69" w:unhideWhenUsed="0"/>
    <w:lsdException w:name="Medium List 1 Accent 6" w:locked="0" w:semiHidden="0" w:uiPriority="70" w:unhideWhenUsed="0"/>
    <w:lsdException w:name="Medium List 2 Accent 6" w:locked="0" w:semiHidden="0" w:uiPriority="71" w:unhideWhenUsed="0"/>
    <w:lsdException w:name="Medium Grid 1 Accent 6" w:locked="0" w:semiHidden="0" w:uiPriority="72" w:unhideWhenUsed="0"/>
    <w:lsdException w:name="Medium Grid 2 Accent 6" w:locked="0" w:semiHidden="0" w:uiPriority="73" w:unhideWhenUsed="0"/>
    <w:lsdException w:name="Medium Grid 3 Accent 6" w:locked="0" w:semiHidden="0" w:uiPriority="60" w:unhideWhenUsed="0"/>
    <w:lsdException w:name="Dark List Accent 6" w:locked="0" w:semiHidden="0" w:uiPriority="61" w:unhideWhenUsed="0"/>
    <w:lsdException w:name="Colorful Shading Accent 6" w:locked="0" w:semiHidden="0" w:uiPriority="62" w:unhideWhenUsed="0"/>
    <w:lsdException w:name="Colorful List Accent 6" w:locked="0" w:semiHidden="0" w:uiPriority="63" w:unhideWhenUsed="0"/>
    <w:lsdException w:name="Colorful Grid Accent 6" w:locked="0" w:semiHidden="0" w:uiPriority="64" w:unhideWhenUsed="0"/>
    <w:lsdException w:name="Subtle Emphasis" w:locked="0" w:semiHidden="0" w:uiPriority="65" w:unhideWhenUsed="0" w:qFormat="1"/>
    <w:lsdException w:name="Intense Emphasis" w:locked="0" w:semiHidden="0" w:uiPriority="66" w:unhideWhenUsed="0" w:qFormat="1"/>
    <w:lsdException w:name="Subtle Reference" w:locked="0" w:semiHidden="0" w:uiPriority="67" w:unhideWhenUsed="0" w:qFormat="1"/>
    <w:lsdException w:name="Intense Reference" w:locked="0" w:semiHidden="0" w:uiPriority="68" w:unhideWhenUsed="0" w:qFormat="1"/>
    <w:lsdException w:name="Book Title" w:locked="0" w:semiHidden="0" w:uiPriority="69" w:unhideWhenUsed="0" w:qFormat="1"/>
    <w:lsdException w:name="Bibliography" w:locked="0" w:semiHidden="0" w:uiPriority="70" w:unhideWhenUsed="0"/>
    <w:lsdException w:name="TOC Heading" w:locked="0" w:uiPriority="71" w:qFormat="1"/>
  </w:latentStyles>
  <w:style w:type="paragraph" w:default="1" w:styleId="Normal">
    <w:name w:val="Normal"/>
    <w:qFormat/>
    <w:rsid w:val="008C02D3"/>
    <w:pPr>
      <w:jc w:val="both"/>
    </w:pPr>
    <w:rPr>
      <w:rFonts w:ascii="Arial" w:hAnsi="Arial"/>
      <w:sz w:val="18"/>
      <w:lang w:val="es-ES_tradnl" w:eastAsia="es-CO"/>
    </w:rPr>
  </w:style>
  <w:style w:type="paragraph" w:styleId="Ttulo1">
    <w:name w:val="heading 1"/>
    <w:basedOn w:val="Normal"/>
    <w:next w:val="Normal"/>
    <w:link w:val="Ttulo1Car"/>
    <w:uiPriority w:val="99"/>
    <w:qFormat/>
    <w:rsid w:val="008C02D3"/>
    <w:pPr>
      <w:keepNext/>
      <w:spacing w:before="240" w:after="60"/>
      <w:outlineLvl w:val="0"/>
    </w:pPr>
    <w:rPr>
      <w:b/>
      <w:caps/>
      <w:kern w:val="32"/>
      <w:sz w:val="32"/>
    </w:rPr>
  </w:style>
  <w:style w:type="paragraph" w:styleId="Ttulo2">
    <w:name w:val="heading 2"/>
    <w:basedOn w:val="Normal"/>
    <w:next w:val="Normal"/>
    <w:link w:val="Ttulo2Car"/>
    <w:uiPriority w:val="99"/>
    <w:qFormat/>
    <w:rsid w:val="008C02D3"/>
    <w:pPr>
      <w:keepNext/>
      <w:spacing w:before="240" w:after="60"/>
      <w:outlineLvl w:val="1"/>
    </w:pPr>
    <w:rPr>
      <w:b/>
      <w:sz w:val="28"/>
    </w:rPr>
  </w:style>
  <w:style w:type="paragraph" w:styleId="Ttulo3">
    <w:name w:val="heading 3"/>
    <w:basedOn w:val="Normal"/>
    <w:next w:val="Normal"/>
    <w:link w:val="Ttulo3Car"/>
    <w:uiPriority w:val="99"/>
    <w:qFormat/>
    <w:rsid w:val="00AB0460"/>
    <w:pPr>
      <w:keepNext/>
      <w:numPr>
        <w:ilvl w:val="2"/>
        <w:numId w:val="9"/>
      </w:numPr>
      <w:spacing w:before="240" w:after="60"/>
      <w:outlineLvl w:val="2"/>
    </w:pPr>
    <w:rPr>
      <w:b/>
      <w:sz w:val="26"/>
      <w:lang w:val="es-ES" w:eastAsia="es-ES"/>
    </w:rPr>
  </w:style>
  <w:style w:type="paragraph" w:styleId="Ttulo4">
    <w:name w:val="heading 4"/>
    <w:basedOn w:val="Normal"/>
    <w:next w:val="Normal"/>
    <w:link w:val="Ttulo4Car"/>
    <w:uiPriority w:val="99"/>
    <w:qFormat/>
    <w:rsid w:val="00AB0460"/>
    <w:pPr>
      <w:keepNext/>
      <w:numPr>
        <w:ilvl w:val="3"/>
        <w:numId w:val="9"/>
      </w:numPr>
      <w:spacing w:before="240" w:after="60"/>
      <w:outlineLvl w:val="3"/>
    </w:pPr>
    <w:rPr>
      <w:sz w:val="28"/>
      <w:lang w:val="es-ES" w:eastAsia="es-ES"/>
    </w:rPr>
  </w:style>
  <w:style w:type="paragraph" w:styleId="Ttulo5">
    <w:name w:val="heading 5"/>
    <w:basedOn w:val="Normal"/>
    <w:next w:val="Normal"/>
    <w:link w:val="Ttulo5Car"/>
    <w:uiPriority w:val="99"/>
    <w:qFormat/>
    <w:rsid w:val="00AB0460"/>
    <w:pPr>
      <w:numPr>
        <w:ilvl w:val="4"/>
        <w:numId w:val="9"/>
      </w:numPr>
      <w:spacing w:before="240" w:after="60"/>
      <w:outlineLvl w:val="4"/>
    </w:pPr>
    <w:rPr>
      <w:rFonts w:ascii="Times New Roman" w:hAnsi="Times New Roman"/>
      <w:b/>
      <w:sz w:val="26"/>
      <w:u w:val="single"/>
      <w:lang w:val="es-ES" w:eastAsia="es-ES"/>
    </w:rPr>
  </w:style>
  <w:style w:type="paragraph" w:styleId="Ttulo6">
    <w:name w:val="heading 6"/>
    <w:basedOn w:val="Normal"/>
    <w:link w:val="Ttulo6Car"/>
    <w:uiPriority w:val="99"/>
    <w:qFormat/>
    <w:rsid w:val="00AB0460"/>
    <w:pPr>
      <w:numPr>
        <w:ilvl w:val="5"/>
        <w:numId w:val="9"/>
      </w:numPr>
      <w:spacing w:before="100" w:beforeAutospacing="1" w:after="100" w:afterAutospacing="1"/>
      <w:outlineLvl w:val="5"/>
    </w:pPr>
    <w:rPr>
      <w:rFonts w:ascii="Times New Roman" w:hAnsi="Times New Roman"/>
      <w:b/>
      <w:sz w:val="15"/>
      <w:lang w:val="es-ES" w:eastAsia="es-ES"/>
    </w:rPr>
  </w:style>
  <w:style w:type="paragraph" w:styleId="Ttulo7">
    <w:name w:val="heading 7"/>
    <w:basedOn w:val="Normal"/>
    <w:next w:val="Normal"/>
    <w:link w:val="Ttulo7Car"/>
    <w:uiPriority w:val="99"/>
    <w:qFormat/>
    <w:rsid w:val="00AB0460"/>
    <w:pPr>
      <w:numPr>
        <w:ilvl w:val="6"/>
        <w:numId w:val="9"/>
      </w:numPr>
      <w:spacing w:before="240" w:after="60"/>
      <w:outlineLvl w:val="6"/>
    </w:pPr>
    <w:rPr>
      <w:rFonts w:ascii="Times New Roman" w:hAnsi="Times New Roman"/>
      <w:sz w:val="24"/>
      <w:lang w:val="es-ES" w:eastAsia="es-ES"/>
    </w:rPr>
  </w:style>
  <w:style w:type="paragraph" w:styleId="Ttulo8">
    <w:name w:val="heading 8"/>
    <w:basedOn w:val="Normal"/>
    <w:next w:val="Normal"/>
    <w:link w:val="Ttulo8Car"/>
    <w:uiPriority w:val="99"/>
    <w:qFormat/>
    <w:rsid w:val="00AB0460"/>
    <w:pPr>
      <w:numPr>
        <w:ilvl w:val="7"/>
        <w:numId w:val="9"/>
      </w:numPr>
      <w:spacing w:before="240" w:after="60"/>
      <w:outlineLvl w:val="7"/>
    </w:pPr>
    <w:rPr>
      <w:rFonts w:ascii="Times New Roman" w:hAnsi="Times New Roman"/>
      <w:i/>
      <w:sz w:val="24"/>
      <w:lang w:val="es-ES" w:eastAsia="es-ES"/>
    </w:rPr>
  </w:style>
  <w:style w:type="paragraph" w:styleId="Ttulo9">
    <w:name w:val="heading 9"/>
    <w:basedOn w:val="Normal"/>
    <w:next w:val="Normal"/>
    <w:link w:val="Ttulo9Car"/>
    <w:uiPriority w:val="99"/>
    <w:qFormat/>
    <w:rsid w:val="00AB0460"/>
    <w:pPr>
      <w:numPr>
        <w:ilvl w:val="8"/>
        <w:numId w:val="9"/>
      </w:numPr>
      <w:spacing w:before="240" w:after="60"/>
      <w:outlineLvl w:val="8"/>
    </w:pPr>
    <w:rPr>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C02D3"/>
    <w:rPr>
      <w:rFonts w:ascii="Arial" w:hAnsi="Arial" w:cs="Times New Roman"/>
      <w:b/>
      <w:caps/>
      <w:kern w:val="32"/>
      <w:sz w:val="32"/>
      <w:lang w:val="es-ES_tradnl" w:eastAsia="es-CO"/>
    </w:rPr>
  </w:style>
  <w:style w:type="character" w:customStyle="1" w:styleId="Ttulo2Car">
    <w:name w:val="Título 2 Car"/>
    <w:link w:val="Ttulo2"/>
    <w:uiPriority w:val="99"/>
    <w:locked/>
    <w:rsid w:val="008C02D3"/>
    <w:rPr>
      <w:rFonts w:ascii="Arial" w:hAnsi="Arial" w:cs="Times New Roman"/>
      <w:b/>
      <w:sz w:val="28"/>
      <w:lang w:val="es-ES_tradnl" w:eastAsia="es-CO"/>
    </w:rPr>
  </w:style>
  <w:style w:type="character" w:customStyle="1" w:styleId="Ttulo3Car">
    <w:name w:val="Título 3 Car"/>
    <w:link w:val="Ttulo3"/>
    <w:uiPriority w:val="99"/>
    <w:locked/>
    <w:rsid w:val="00AB0460"/>
    <w:rPr>
      <w:rFonts w:ascii="Arial" w:hAnsi="Arial" w:cs="Times New Roman"/>
      <w:b/>
      <w:sz w:val="26"/>
      <w:lang w:val="es-ES" w:eastAsia="es-ES"/>
    </w:rPr>
  </w:style>
  <w:style w:type="character" w:customStyle="1" w:styleId="Ttulo4Car">
    <w:name w:val="Título 4 Car"/>
    <w:link w:val="Ttulo4"/>
    <w:uiPriority w:val="99"/>
    <w:locked/>
    <w:rsid w:val="00AB0460"/>
    <w:rPr>
      <w:rFonts w:ascii="Arial" w:hAnsi="Arial" w:cs="Times New Roman"/>
      <w:sz w:val="28"/>
      <w:lang w:val="es-ES" w:eastAsia="es-ES"/>
    </w:rPr>
  </w:style>
  <w:style w:type="character" w:customStyle="1" w:styleId="Ttulo5Car">
    <w:name w:val="Título 5 Car"/>
    <w:link w:val="Ttulo5"/>
    <w:uiPriority w:val="99"/>
    <w:locked/>
    <w:rsid w:val="00AB0460"/>
    <w:rPr>
      <w:rFonts w:cs="Times New Roman"/>
      <w:b/>
      <w:sz w:val="26"/>
      <w:u w:val="single"/>
      <w:lang w:val="es-ES" w:eastAsia="es-ES"/>
    </w:rPr>
  </w:style>
  <w:style w:type="character" w:customStyle="1" w:styleId="Ttulo6Car">
    <w:name w:val="Título 6 Car"/>
    <w:link w:val="Ttulo6"/>
    <w:uiPriority w:val="99"/>
    <w:locked/>
    <w:rsid w:val="00AB0460"/>
    <w:rPr>
      <w:rFonts w:cs="Times New Roman"/>
      <w:b/>
      <w:sz w:val="15"/>
      <w:lang w:val="es-ES" w:eastAsia="es-ES"/>
    </w:rPr>
  </w:style>
  <w:style w:type="character" w:customStyle="1" w:styleId="Ttulo7Car">
    <w:name w:val="Título 7 Car"/>
    <w:link w:val="Ttulo7"/>
    <w:uiPriority w:val="99"/>
    <w:locked/>
    <w:rsid w:val="00AB0460"/>
    <w:rPr>
      <w:rFonts w:cs="Times New Roman"/>
      <w:sz w:val="24"/>
      <w:lang w:val="es-ES" w:eastAsia="es-ES"/>
    </w:rPr>
  </w:style>
  <w:style w:type="character" w:customStyle="1" w:styleId="Ttulo8Car">
    <w:name w:val="Título 8 Car"/>
    <w:link w:val="Ttulo8"/>
    <w:uiPriority w:val="99"/>
    <w:locked/>
    <w:rsid w:val="00AB0460"/>
    <w:rPr>
      <w:rFonts w:cs="Times New Roman"/>
      <w:i/>
      <w:sz w:val="24"/>
      <w:lang w:val="es-ES" w:eastAsia="es-ES"/>
    </w:rPr>
  </w:style>
  <w:style w:type="character" w:customStyle="1" w:styleId="Ttulo9Car">
    <w:name w:val="Título 9 Car"/>
    <w:link w:val="Ttulo9"/>
    <w:uiPriority w:val="99"/>
    <w:locked/>
    <w:rsid w:val="00AB0460"/>
    <w:rPr>
      <w:rFonts w:ascii="Arial" w:hAnsi="Arial" w:cs="Times New Roman"/>
      <w:sz w:val="22"/>
      <w:lang w:val="es-ES" w:eastAsia="es-ES"/>
    </w:rPr>
  </w:style>
  <w:style w:type="paragraph" w:styleId="Encabezado">
    <w:name w:val="header"/>
    <w:basedOn w:val="Normal"/>
    <w:link w:val="EncabezadoCar"/>
    <w:uiPriority w:val="99"/>
    <w:rsid w:val="008C02D3"/>
    <w:pPr>
      <w:tabs>
        <w:tab w:val="center" w:pos="4252"/>
        <w:tab w:val="right" w:pos="8504"/>
      </w:tabs>
    </w:pPr>
  </w:style>
  <w:style w:type="character" w:customStyle="1" w:styleId="EncabezadoCar">
    <w:name w:val="Encabezado Car"/>
    <w:link w:val="Encabezado"/>
    <w:uiPriority w:val="99"/>
    <w:locked/>
    <w:rsid w:val="008C02D3"/>
    <w:rPr>
      <w:rFonts w:ascii="Arial" w:hAnsi="Arial" w:cs="Times New Roman"/>
      <w:sz w:val="18"/>
      <w:lang w:val="es-ES_tradnl" w:eastAsia="es-CO"/>
    </w:rPr>
  </w:style>
  <w:style w:type="paragraph" w:styleId="Piedepgina">
    <w:name w:val="footer"/>
    <w:basedOn w:val="Normal"/>
    <w:link w:val="PiedepginaCar"/>
    <w:uiPriority w:val="99"/>
    <w:rsid w:val="00325AB9"/>
    <w:pPr>
      <w:tabs>
        <w:tab w:val="center" w:pos="4419"/>
        <w:tab w:val="right" w:pos="8838"/>
      </w:tabs>
    </w:pPr>
  </w:style>
  <w:style w:type="character" w:customStyle="1" w:styleId="PiedepginaCar">
    <w:name w:val="Pie de página Car"/>
    <w:link w:val="Piedepgina"/>
    <w:uiPriority w:val="99"/>
    <w:locked/>
    <w:rsid w:val="00325AB9"/>
    <w:rPr>
      <w:rFonts w:ascii="Arial" w:hAnsi="Arial" w:cs="Times New Roman"/>
      <w:sz w:val="18"/>
      <w:lang w:val="es-ES_tradnl"/>
    </w:rPr>
  </w:style>
  <w:style w:type="character" w:styleId="Nmerodepgina">
    <w:name w:val="page number"/>
    <w:uiPriority w:val="99"/>
    <w:rsid w:val="00325AB9"/>
    <w:rPr>
      <w:rFonts w:cs="Times New Roman"/>
    </w:rPr>
  </w:style>
  <w:style w:type="paragraph" w:customStyle="1" w:styleId="Encabezadodetabladecontenido1">
    <w:name w:val="Encabezado de tabla de contenido1"/>
    <w:basedOn w:val="Ttulo1"/>
    <w:next w:val="Normal"/>
    <w:uiPriority w:val="99"/>
    <w:semiHidden/>
    <w:rsid w:val="007004F4"/>
    <w:pPr>
      <w:keepLines/>
      <w:spacing w:before="480" w:after="0" w:line="276" w:lineRule="auto"/>
      <w:jc w:val="left"/>
      <w:outlineLvl w:val="9"/>
    </w:pPr>
    <w:rPr>
      <w:rFonts w:ascii="Cambria" w:hAnsi="Cambria"/>
      <w:caps w:val="0"/>
      <w:color w:val="365F91"/>
      <w:kern w:val="0"/>
      <w:sz w:val="28"/>
      <w:szCs w:val="28"/>
      <w:lang w:val="es-CO"/>
    </w:rPr>
  </w:style>
  <w:style w:type="paragraph" w:styleId="TDC1">
    <w:name w:val="toc 1"/>
    <w:basedOn w:val="Normal"/>
    <w:next w:val="Normal"/>
    <w:autoRedefine/>
    <w:uiPriority w:val="99"/>
    <w:rsid w:val="007004F4"/>
    <w:pPr>
      <w:spacing w:before="240" w:after="120"/>
      <w:jc w:val="left"/>
    </w:pPr>
    <w:rPr>
      <w:b/>
      <w:bCs/>
      <w:sz w:val="16"/>
    </w:rPr>
  </w:style>
  <w:style w:type="paragraph" w:styleId="TDC2">
    <w:name w:val="toc 2"/>
    <w:basedOn w:val="Normal"/>
    <w:next w:val="Normal"/>
    <w:autoRedefine/>
    <w:uiPriority w:val="99"/>
    <w:rsid w:val="007004F4"/>
    <w:pPr>
      <w:ind w:left="180"/>
      <w:jc w:val="left"/>
    </w:pPr>
    <w:rPr>
      <w:iCs/>
      <w:sz w:val="16"/>
    </w:rPr>
  </w:style>
  <w:style w:type="character" w:styleId="Hipervnculo">
    <w:name w:val="Hyperlink"/>
    <w:uiPriority w:val="99"/>
    <w:rsid w:val="007004F4"/>
    <w:rPr>
      <w:rFonts w:cs="Times New Roman"/>
      <w:color w:val="0000FF"/>
      <w:u w:val="single"/>
    </w:rPr>
  </w:style>
  <w:style w:type="paragraph" w:styleId="TDC3">
    <w:name w:val="toc 3"/>
    <w:basedOn w:val="Normal"/>
    <w:next w:val="Normal"/>
    <w:autoRedefine/>
    <w:uiPriority w:val="99"/>
    <w:rsid w:val="007004F4"/>
    <w:pPr>
      <w:ind w:left="360"/>
      <w:jc w:val="left"/>
    </w:pPr>
    <w:rPr>
      <w:rFonts w:ascii="Calibri" w:hAnsi="Calibri"/>
      <w:sz w:val="20"/>
    </w:rPr>
  </w:style>
  <w:style w:type="paragraph" w:styleId="TDC4">
    <w:name w:val="toc 4"/>
    <w:basedOn w:val="Normal"/>
    <w:next w:val="Normal"/>
    <w:autoRedefine/>
    <w:uiPriority w:val="99"/>
    <w:rsid w:val="007004F4"/>
    <w:pPr>
      <w:ind w:left="540"/>
      <w:jc w:val="left"/>
    </w:pPr>
    <w:rPr>
      <w:rFonts w:ascii="Calibri" w:hAnsi="Calibri"/>
      <w:sz w:val="20"/>
    </w:rPr>
  </w:style>
  <w:style w:type="paragraph" w:styleId="TDC5">
    <w:name w:val="toc 5"/>
    <w:basedOn w:val="Normal"/>
    <w:next w:val="Normal"/>
    <w:autoRedefine/>
    <w:uiPriority w:val="99"/>
    <w:rsid w:val="007004F4"/>
    <w:pPr>
      <w:ind w:left="720"/>
      <w:jc w:val="left"/>
    </w:pPr>
    <w:rPr>
      <w:rFonts w:ascii="Calibri" w:hAnsi="Calibri"/>
      <w:sz w:val="20"/>
    </w:rPr>
  </w:style>
  <w:style w:type="paragraph" w:styleId="TDC6">
    <w:name w:val="toc 6"/>
    <w:basedOn w:val="Normal"/>
    <w:next w:val="Normal"/>
    <w:autoRedefine/>
    <w:uiPriority w:val="99"/>
    <w:rsid w:val="007004F4"/>
    <w:pPr>
      <w:ind w:left="900"/>
      <w:jc w:val="left"/>
    </w:pPr>
    <w:rPr>
      <w:rFonts w:ascii="Calibri" w:hAnsi="Calibri"/>
      <w:sz w:val="20"/>
    </w:rPr>
  </w:style>
  <w:style w:type="paragraph" w:styleId="TDC7">
    <w:name w:val="toc 7"/>
    <w:basedOn w:val="Normal"/>
    <w:next w:val="Normal"/>
    <w:autoRedefine/>
    <w:uiPriority w:val="99"/>
    <w:rsid w:val="007004F4"/>
    <w:pPr>
      <w:ind w:left="1080"/>
      <w:jc w:val="left"/>
    </w:pPr>
    <w:rPr>
      <w:rFonts w:ascii="Calibri" w:hAnsi="Calibri"/>
      <w:sz w:val="20"/>
    </w:rPr>
  </w:style>
  <w:style w:type="paragraph" w:styleId="TDC8">
    <w:name w:val="toc 8"/>
    <w:basedOn w:val="Normal"/>
    <w:next w:val="Normal"/>
    <w:autoRedefine/>
    <w:uiPriority w:val="99"/>
    <w:rsid w:val="007004F4"/>
    <w:pPr>
      <w:ind w:left="1260"/>
      <w:jc w:val="left"/>
    </w:pPr>
    <w:rPr>
      <w:rFonts w:ascii="Calibri" w:hAnsi="Calibri"/>
      <w:sz w:val="20"/>
    </w:rPr>
  </w:style>
  <w:style w:type="paragraph" w:styleId="TDC9">
    <w:name w:val="toc 9"/>
    <w:basedOn w:val="Normal"/>
    <w:next w:val="Normal"/>
    <w:autoRedefine/>
    <w:uiPriority w:val="99"/>
    <w:rsid w:val="007004F4"/>
    <w:pPr>
      <w:ind w:left="1440"/>
      <w:jc w:val="left"/>
    </w:pPr>
    <w:rPr>
      <w:rFonts w:ascii="Calibri" w:hAnsi="Calibri"/>
      <w:sz w:val="20"/>
    </w:rPr>
  </w:style>
  <w:style w:type="paragraph" w:styleId="Textodeglobo">
    <w:name w:val="Balloon Text"/>
    <w:basedOn w:val="Normal"/>
    <w:link w:val="TextodegloboCar"/>
    <w:uiPriority w:val="99"/>
    <w:semiHidden/>
    <w:rsid w:val="00505CE8"/>
    <w:rPr>
      <w:rFonts w:ascii="Tahoma" w:hAnsi="Tahoma"/>
      <w:sz w:val="16"/>
    </w:rPr>
  </w:style>
  <w:style w:type="character" w:customStyle="1" w:styleId="TextodegloboCar">
    <w:name w:val="Texto de globo Car"/>
    <w:link w:val="Textodeglobo"/>
    <w:uiPriority w:val="99"/>
    <w:semiHidden/>
    <w:locked/>
    <w:rsid w:val="00505CE8"/>
    <w:rPr>
      <w:rFonts w:ascii="Tahoma" w:hAnsi="Tahoma" w:cs="Times New Roman"/>
      <w:sz w:val="16"/>
      <w:lang w:val="es-ES_tradnl" w:eastAsia="es-CO"/>
    </w:rPr>
  </w:style>
  <w:style w:type="character" w:styleId="Refdecomentario">
    <w:name w:val="annotation reference"/>
    <w:uiPriority w:val="99"/>
    <w:semiHidden/>
    <w:rsid w:val="00EB2B10"/>
    <w:rPr>
      <w:rFonts w:cs="Times New Roman"/>
      <w:sz w:val="16"/>
      <w:szCs w:val="16"/>
    </w:rPr>
  </w:style>
  <w:style w:type="paragraph" w:styleId="Textocomentario">
    <w:name w:val="annotation text"/>
    <w:basedOn w:val="Normal"/>
    <w:link w:val="TextocomentarioCar"/>
    <w:uiPriority w:val="99"/>
    <w:semiHidden/>
    <w:rsid w:val="00EB2B10"/>
    <w:rPr>
      <w:sz w:val="20"/>
    </w:rPr>
  </w:style>
  <w:style w:type="character" w:customStyle="1" w:styleId="TextocomentarioCar">
    <w:name w:val="Texto comentario Car"/>
    <w:link w:val="Textocomentario"/>
    <w:uiPriority w:val="99"/>
    <w:semiHidden/>
    <w:locked/>
    <w:rsid w:val="00EB2B10"/>
    <w:rPr>
      <w:rFonts w:ascii="Arial" w:hAnsi="Arial" w:cs="Times New Roman"/>
      <w:lang w:val="es-ES_tradnl" w:eastAsia="es-CO"/>
    </w:rPr>
  </w:style>
  <w:style w:type="paragraph" w:styleId="Asuntodelcomentario">
    <w:name w:val="annotation subject"/>
    <w:basedOn w:val="Textocomentario"/>
    <w:next w:val="Textocomentario"/>
    <w:link w:val="AsuntodelcomentarioCar"/>
    <w:uiPriority w:val="99"/>
    <w:semiHidden/>
    <w:rsid w:val="00EB2B10"/>
    <w:rPr>
      <w:b/>
      <w:bCs/>
    </w:rPr>
  </w:style>
  <w:style w:type="character" w:customStyle="1" w:styleId="AsuntodelcomentarioCar">
    <w:name w:val="Asunto del comentario Car"/>
    <w:link w:val="Asuntodelcomentario"/>
    <w:uiPriority w:val="99"/>
    <w:semiHidden/>
    <w:locked/>
    <w:rsid w:val="00EB2B10"/>
    <w:rPr>
      <w:rFonts w:ascii="Arial" w:hAnsi="Arial" w:cs="Times New Roman"/>
      <w:b/>
      <w:bCs/>
      <w:lang w:val="es-ES_tradnl"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8545</Words>
  <Characters>47000</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PARTE II</vt:lpstr>
    </vt:vector>
  </TitlesOfParts>
  <Company>Toshiba</Company>
  <LinksUpToDate>false</LinksUpToDate>
  <CharactersWithSpaces>55435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PARTE II</dc:title>
  <dc:subject/>
  <dc:creator>Yuri Castañeda</dc:creator>
  <cp:keywords/>
  <dc:description/>
  <cp:lastModifiedBy>Superintendencia Financiera de Colombia</cp:lastModifiedBy>
  <cp:revision>7</cp:revision>
  <dcterms:created xsi:type="dcterms:W3CDTF">2014-08-22T14:07:00Z</dcterms:created>
  <dcterms:modified xsi:type="dcterms:W3CDTF">2014-09-25T13:06:00Z</dcterms:modified>
</cp:coreProperties>
</file>